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B646C">
      <w:pPr>
        <w:snapToGrid w:val="0"/>
        <w:rPr>
          <w:rFonts w:hint="eastAsia" w:ascii="微软雅黑" w:hAnsi="微软雅黑" w:eastAsia="微软雅黑"/>
          <w:sz w:val="20"/>
          <w:szCs w:val="20"/>
        </w:rPr>
      </w:pPr>
      <w:bookmarkStart w:id="1" w:name="_GoBack"/>
      <w:bookmarkEnd w:id="1"/>
      <w:bookmarkStart w:id="0" w:name="_Hlk91793999"/>
      <w:bookmarkEnd w:id="0"/>
    </w:p>
    <w:p w14:paraId="3136CF7E">
      <w:pPr>
        <w:snapToGrid w:val="0"/>
        <w:jc w:val="center"/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金字塔原理：逻辑思维与高效表达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 w14:paraId="64EB1ADD"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hint="eastAsia" w:ascii="Arial" w:hAnsi="Arial" w:cs="Arial"/>
          <w:color w:val="D6D6D6"/>
          <w:sz w:val="24"/>
          <w:szCs w:val="24"/>
        </w:rPr>
        <w:t>Pyramid Principle: Logical Thinking and Effective Expression</w:t>
      </w:r>
    </w:p>
    <w:p w14:paraId="462E02A7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 w14:paraId="35CD229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34" w:type="dxa"/>
            <w:shd w:val="clear" w:color="auto" w:fill="2E74B5"/>
            <w:vAlign w:val="center"/>
          </w:tcPr>
          <w:p w14:paraId="285D48CD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日期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Date</w:t>
            </w:r>
          </w:p>
        </w:tc>
        <w:tc>
          <w:tcPr>
            <w:tcW w:w="7302" w:type="dxa"/>
            <w:gridSpan w:val="3"/>
            <w:vAlign w:val="center"/>
          </w:tcPr>
          <w:p w14:paraId="30DEDE30">
            <w:pPr>
              <w:snapToGrid w:val="0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2025年05月22日-23日  深圳</w:t>
            </w:r>
          </w:p>
        </w:tc>
      </w:tr>
      <w:tr w14:paraId="705D29E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4" w:type="dxa"/>
            <w:shd w:val="clear" w:color="auto" w:fill="2E74B5"/>
            <w:vAlign w:val="center"/>
          </w:tcPr>
          <w:p w14:paraId="223EE922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讲师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/Lecturer</w:t>
            </w:r>
          </w:p>
        </w:tc>
        <w:tc>
          <w:tcPr>
            <w:tcW w:w="2434" w:type="dxa"/>
            <w:vAlign w:val="center"/>
          </w:tcPr>
          <w:p w14:paraId="703F44DE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姜老师</w:t>
            </w:r>
          </w:p>
        </w:tc>
        <w:tc>
          <w:tcPr>
            <w:tcW w:w="2434" w:type="dxa"/>
            <w:shd w:val="clear" w:color="auto" w:fill="2E74B5"/>
            <w:vAlign w:val="center"/>
          </w:tcPr>
          <w:p w14:paraId="6602F006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费用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/Price</w:t>
            </w:r>
          </w:p>
        </w:tc>
        <w:tc>
          <w:tcPr>
            <w:tcW w:w="2434" w:type="dxa"/>
            <w:vAlign w:val="center"/>
          </w:tcPr>
          <w:p w14:paraId="343B3D72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¥4580元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</w:t>
            </w:r>
          </w:p>
        </w:tc>
      </w:tr>
    </w:tbl>
    <w:p w14:paraId="22CA6FC4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56545E7F"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31F43F6F">
      <w:pPr>
        <w:snapToGrid w:val="0"/>
        <w:rPr>
          <w:rFonts w:hint="eastAsia" w:ascii="微软雅黑" w:hAnsi="微软雅黑" w:eastAsia="微软雅黑" w:cs="微软雅黑"/>
          <w:color w:val="2E74B5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其他排期/</w:t>
      </w:r>
      <w:r>
        <w:rPr>
          <w:rFonts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Scheduling</w:t>
      </w:r>
    </w:p>
    <w:p w14:paraId="088E5B90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上海：2025年02月26日-27日（姜老师）     |     北京：2025年03月07日-08日（姜老师）</w:t>
      </w:r>
    </w:p>
    <w:p w14:paraId="0B72A812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广州：2025年03月25日-26日（姜老师）     |     成都：2025年04月11日-12日（姜老师）</w:t>
      </w:r>
    </w:p>
    <w:p w14:paraId="3844B5B6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深圳：2025年05月22日-23日（姜老师）     |     上海：2025年06月11日-12日（姜老师）</w:t>
      </w:r>
    </w:p>
    <w:p w14:paraId="0546E194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北京：2025年06月24日-25日（姜老师）     |     广州：2025年07月08日-09日（姜老师）</w:t>
      </w:r>
    </w:p>
    <w:p w14:paraId="4CC1542C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成都：2025年07月16日-17日（姜老师）     |     深圳：2025年08月06日-07日（姜老师）</w:t>
      </w:r>
    </w:p>
    <w:p w14:paraId="0DC68E5F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上海：2025年09月03日-04日（姜老师）     |     北京：2025年09月17日-18日（姜老师）</w:t>
      </w:r>
    </w:p>
    <w:p w14:paraId="3327E498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广州：2025年10月17日-18日（姜老师）     |     深圳：2025年11月11日-12日（姜老师）</w:t>
      </w:r>
    </w:p>
    <w:p w14:paraId="69F4F45F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成都：2025年11月25日-26日（姜老师）     |     上海：2025年12月12日-13日（姜老师）</w:t>
      </w:r>
    </w:p>
    <w:p w14:paraId="1F077AFD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 xml:space="preserve">北京：2025年12月19日-20日（姜老师）     </w:t>
      </w:r>
    </w:p>
    <w:p w14:paraId="3BCC599F">
      <w:pPr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注: 不同城市不同场次的授课讲师及大纲可能有差异，具体请参照对应场次的课程大纲内容。）</w:t>
      </w:r>
    </w:p>
    <w:p w14:paraId="0BFC951F">
      <w:pPr>
        <w:rPr>
          <w:rFonts w:hint="eastAsia"/>
        </w:rPr>
      </w:pPr>
    </w:p>
    <w:p w14:paraId="7CCA6E6D"/>
    <w:p w14:paraId="3AFE522C">
      <w:r>
        <w:rPr>
          <w:rFonts w:ascii="微软雅黑" w:hAnsi="微软雅黑" w:eastAsia="微软雅黑" w:cs="微软雅黑"/>
          <w:b/>
          <w:color w:val="2E74B5"/>
          <w:sz w:val="26"/>
        </w:rPr>
        <w:t>课程概述/Overview</w:t>
      </w:r>
    </w:p>
    <w:p w14:paraId="71CDB91C">
      <w:r>
        <w:rPr>
          <w:rFonts w:ascii="微软雅黑" w:hAnsi="微软雅黑" w:eastAsia="微软雅黑" w:cs="微软雅黑"/>
          <w:b/>
          <w:color w:val="000000"/>
          <w:sz w:val="22"/>
        </w:rPr>
        <w:t>课程介绍</w:t>
      </w:r>
    </w:p>
    <w:p w14:paraId="10B55B6A">
      <w:r>
        <w:rPr>
          <w:rFonts w:ascii="微软雅黑" w:hAnsi="微软雅黑" w:eastAsia="微软雅黑" w:cs="微软雅黑"/>
          <w:sz w:val="20"/>
        </w:rPr>
        <w:t>《金字塔原理》课程的基本原则和思想来源于芭芭拉•明托女士经久不衰的经典畅销商业管理书籍——《金字塔原理》。本课程通过对文章结构性特点的讲解，强化学员表达与思考时的逻辑思维方式，大量的实战体验式演练，从而提高学员表达与思考的能力。基于此，它受到全球众多跨国公司的推崇，也受到广大职场人士和诸多学习者的热爱。</w:t>
      </w:r>
    </w:p>
    <w:p w14:paraId="6F480996"/>
    <w:p w14:paraId="5F0C8243"/>
    <w:p w14:paraId="031B513C">
      <w:r>
        <w:rPr>
          <w:rFonts w:ascii="微软雅黑" w:hAnsi="微软雅黑" w:eastAsia="微软雅黑" w:cs="微软雅黑"/>
          <w:b/>
          <w:color w:val="000000"/>
          <w:sz w:val="22"/>
        </w:rPr>
        <w:t>课程目的</w:t>
      </w:r>
    </w:p>
    <w:p w14:paraId="492658B9">
      <w:r>
        <w:rPr>
          <w:rFonts w:ascii="微软雅黑" w:hAnsi="微软雅黑" w:eastAsia="微软雅黑" w:cs="微软雅黑"/>
          <w:sz w:val="20"/>
        </w:rPr>
        <w:t>身为繁忙职场人士的您，是否在为这些问题烦恼？</w:t>
      </w:r>
    </w:p>
    <w:p w14:paraId="1E2CEC01">
      <w:r>
        <w:rPr>
          <w:rFonts w:ascii="微软雅黑" w:hAnsi="微软雅黑" w:eastAsia="微软雅黑" w:cs="微软雅黑"/>
          <w:sz w:val="20"/>
        </w:rPr>
        <w:t>思考事情——脑子一团乱，根本理不清思路！</w:t>
      </w:r>
    </w:p>
    <w:p w14:paraId="79238C35">
      <w:r>
        <w:rPr>
          <w:rFonts w:ascii="微软雅黑" w:hAnsi="微软雅黑" w:eastAsia="微软雅黑" w:cs="微软雅黑"/>
          <w:sz w:val="20"/>
        </w:rPr>
        <w:t>当众说话——总说不到点子上，对方听不进去！</w:t>
      </w:r>
    </w:p>
    <w:p w14:paraId="62FCB421">
      <w:r>
        <w:rPr>
          <w:rFonts w:ascii="微软雅黑" w:hAnsi="微软雅黑" w:eastAsia="微软雅黑" w:cs="微软雅黑"/>
          <w:sz w:val="20"/>
        </w:rPr>
        <w:t>工作展示——辛辛苦苦熬大夜，领导还不满意！</w:t>
      </w:r>
    </w:p>
    <w:p w14:paraId="1FACFA2A">
      <w:r>
        <w:rPr>
          <w:rFonts w:ascii="微软雅黑" w:hAnsi="微软雅黑" w:eastAsia="微软雅黑" w:cs="微软雅黑"/>
          <w:sz w:val="20"/>
        </w:rPr>
        <w:t>项目管理——花了大把时间，还有不少纰漏！</w:t>
      </w:r>
    </w:p>
    <w:p w14:paraId="7CDDD922">
      <w:r>
        <w:rPr>
          <w:rFonts w:ascii="微软雅黑" w:hAnsi="微软雅黑" w:eastAsia="微软雅黑" w:cs="微软雅黑"/>
          <w:sz w:val="20"/>
        </w:rPr>
        <w:t>以上所有问题，都可以通过金字塔原理的思维训练，得到解决和优化</w:t>
      </w:r>
    </w:p>
    <w:p w14:paraId="6C60AE2F"/>
    <w:p w14:paraId="45F5BCAB"/>
    <w:p w14:paraId="0ACD3DAB">
      <w:r>
        <w:rPr>
          <w:rFonts w:ascii="微软雅黑" w:hAnsi="微软雅黑" w:eastAsia="微软雅黑" w:cs="微软雅黑"/>
          <w:b/>
          <w:color w:val="000000"/>
          <w:sz w:val="22"/>
        </w:rPr>
        <w:t>课程收获</w:t>
      </w:r>
    </w:p>
    <w:p w14:paraId="7C4FC7AD">
      <w:r>
        <w:rPr>
          <w:rFonts w:ascii="微软雅黑" w:hAnsi="微软雅黑" w:eastAsia="微软雅黑" w:cs="微软雅黑"/>
          <w:sz w:val="20"/>
        </w:rPr>
        <w:t>想事更透彻——简单问题不复杂化，复杂问题抓住要害！</w:t>
      </w:r>
    </w:p>
    <w:p w14:paraId="0C45DF79">
      <w:r>
        <w:rPr>
          <w:rFonts w:ascii="微软雅黑" w:hAnsi="微软雅黑" w:eastAsia="微软雅黑" w:cs="微软雅黑"/>
          <w:sz w:val="20"/>
        </w:rPr>
        <w:t>说话更清晰——重点突出，层次分明，别人一听就能懂！</w:t>
      </w:r>
    </w:p>
    <w:p w14:paraId="6FEAC1B8">
      <w:r>
        <w:rPr>
          <w:rFonts w:ascii="微软雅黑" w:hAnsi="微软雅黑" w:eastAsia="微软雅黑" w:cs="微软雅黑"/>
          <w:sz w:val="20"/>
        </w:rPr>
        <w:t>做事更漂亮——无论管项目还是管人，有思路，有章法！</w:t>
      </w:r>
    </w:p>
    <w:p w14:paraId="1CE41082">
      <w:r>
        <w:rPr>
          <w:rFonts w:ascii="微软雅黑" w:hAnsi="微软雅黑" w:eastAsia="微软雅黑" w:cs="微软雅黑"/>
          <w:sz w:val="20"/>
        </w:rPr>
        <w:t>展示更出彩——让PPT、报告、文章，都变成精彩表演！</w:t>
      </w:r>
    </w:p>
    <w:p w14:paraId="7DF1BE2F">
      <w:r>
        <w:rPr>
          <w:rFonts w:ascii="微软雅黑" w:hAnsi="微软雅黑" w:eastAsia="微软雅黑" w:cs="微软雅黑"/>
          <w:sz w:val="20"/>
        </w:rPr>
        <w:t>记事更清楚——事情千头万绪，到你这里变得条理分明！</w:t>
      </w:r>
    </w:p>
    <w:p w14:paraId="539AA639"/>
    <w:p w14:paraId="7AFCAF53"/>
    <w:p w14:paraId="3E09EBA1">
      <w:r>
        <w:rPr>
          <w:rFonts w:ascii="微软雅黑" w:hAnsi="微软雅黑" w:eastAsia="微软雅黑" w:cs="微软雅黑"/>
          <w:b/>
          <w:color w:val="000000"/>
          <w:sz w:val="22"/>
        </w:rPr>
        <w:t>课程对象</w:t>
      </w:r>
    </w:p>
    <w:p w14:paraId="57E31BD9">
      <w:r>
        <w:rPr>
          <w:rFonts w:ascii="微软雅黑" w:hAnsi="微软雅黑" w:eastAsia="微软雅黑" w:cs="微软雅黑"/>
          <w:sz w:val="20"/>
        </w:rPr>
        <w:t>企业管理者</w:t>
      </w:r>
    </w:p>
    <w:p w14:paraId="1397FF26">
      <w:r>
        <w:rPr>
          <w:rFonts w:ascii="微软雅黑" w:hAnsi="微软雅黑" w:eastAsia="微软雅黑" w:cs="微软雅黑"/>
          <w:sz w:val="20"/>
        </w:rPr>
        <w:t>各级骨干人员</w:t>
      </w:r>
    </w:p>
    <w:p w14:paraId="041D42C7">
      <w:r>
        <w:rPr>
          <w:rFonts w:ascii="微软雅黑" w:hAnsi="微软雅黑" w:eastAsia="微软雅黑" w:cs="微软雅黑"/>
          <w:sz w:val="20"/>
        </w:rPr>
        <w:t>对思维训练及高效表达有兴趣的人士</w:t>
      </w:r>
    </w:p>
    <w:p w14:paraId="12F7D7A2"/>
    <w:p w14:paraId="2695C925"/>
    <w:p w14:paraId="1C4F9E87">
      <w:r>
        <w:rPr>
          <w:rFonts w:ascii="微软雅黑" w:hAnsi="微软雅黑" w:eastAsia="微软雅黑" w:cs="微软雅黑"/>
          <w:b/>
          <w:color w:val="2E74B5"/>
          <w:sz w:val="26"/>
        </w:rPr>
        <w:t>课程大纲/Outline</w:t>
      </w:r>
    </w:p>
    <w:p w14:paraId="67DDFC68">
      <w:r>
        <w:rPr>
          <w:rFonts w:ascii="微软雅黑" w:hAnsi="微软雅黑" w:eastAsia="微软雅黑" w:cs="微软雅黑"/>
          <w:b/>
          <w:color w:val="000000"/>
          <w:sz w:val="22"/>
        </w:rPr>
        <w:t>1.为什么我们需要结构化思维</w:t>
      </w:r>
    </w:p>
    <w:p w14:paraId="3A59E295">
      <w:r>
        <w:rPr>
          <w:rFonts w:ascii="微软雅黑" w:hAnsi="微软雅黑" w:eastAsia="微软雅黑" w:cs="微软雅黑"/>
          <w:sz w:val="20"/>
        </w:rPr>
        <w:t>职场结构化第一课——黄金圈法则</w:t>
      </w:r>
    </w:p>
    <w:p w14:paraId="5880DFC3">
      <w:r>
        <w:rPr>
          <w:rFonts w:ascii="微软雅黑" w:hAnsi="微软雅黑" w:eastAsia="微软雅黑" w:cs="微软雅黑"/>
          <w:sz w:val="20"/>
        </w:rPr>
        <w:t>实战演练：结构化对工作的益处和威力</w:t>
      </w:r>
    </w:p>
    <w:p w14:paraId="794C2147"/>
    <w:p w14:paraId="0FC6B77F"/>
    <w:p w14:paraId="6F712EAA">
      <w:r>
        <w:rPr>
          <w:rFonts w:ascii="微软雅黑" w:hAnsi="微软雅黑" w:eastAsia="微软雅黑" w:cs="微软雅黑"/>
          <w:b/>
          <w:color w:val="000000"/>
          <w:sz w:val="22"/>
        </w:rPr>
        <w:t>2.什么是金字塔原理</w:t>
      </w:r>
    </w:p>
    <w:p w14:paraId="22859B39">
      <w:r>
        <w:rPr>
          <w:rFonts w:ascii="微软雅黑" w:hAnsi="微软雅黑" w:eastAsia="微软雅黑" w:cs="微软雅黑"/>
          <w:sz w:val="20"/>
        </w:rPr>
        <w:t>一种结构</w:t>
      </w:r>
    </w:p>
    <w:p w14:paraId="65BFB6B5">
      <w:r>
        <w:rPr>
          <w:rFonts w:ascii="微软雅黑" w:hAnsi="微软雅黑" w:eastAsia="微软雅黑" w:cs="微软雅黑"/>
          <w:sz w:val="20"/>
        </w:rPr>
        <w:t>一种系统管理信息的方式</w:t>
      </w:r>
    </w:p>
    <w:p w14:paraId="1D220B2D">
      <w:r>
        <w:rPr>
          <w:rFonts w:ascii="微软雅黑" w:hAnsi="微软雅黑" w:eastAsia="微软雅黑" w:cs="微软雅黑"/>
          <w:sz w:val="20"/>
        </w:rPr>
        <w:t>探究金字塔的核心定义</w:t>
      </w:r>
    </w:p>
    <w:p w14:paraId="5EE60F49">
      <w:r>
        <w:rPr>
          <w:rFonts w:ascii="微软雅黑" w:hAnsi="微软雅黑" w:eastAsia="微软雅黑" w:cs="微软雅黑"/>
          <w:sz w:val="20"/>
        </w:rPr>
        <w:t>金字塔原理应用的四大场景</w:t>
      </w:r>
    </w:p>
    <w:p w14:paraId="602ECB69">
      <w:r>
        <w:rPr>
          <w:rFonts w:ascii="微软雅黑" w:hAnsi="微软雅黑" w:eastAsia="微软雅黑" w:cs="微软雅黑"/>
          <w:sz w:val="20"/>
        </w:rPr>
        <w:t>逻辑思考——怎么把复杂的事情理清楚?</w:t>
      </w:r>
    </w:p>
    <w:p w14:paraId="7665DB3B">
      <w:r>
        <w:rPr>
          <w:rFonts w:ascii="微软雅黑" w:hAnsi="微软雅黑" w:eastAsia="微软雅黑" w:cs="微软雅黑"/>
          <w:sz w:val="20"/>
        </w:rPr>
        <w:t>高效表达——怎么说到点子上，让对方对你的观点感兴趣?</w:t>
      </w:r>
    </w:p>
    <w:p w14:paraId="67FA2A29">
      <w:r>
        <w:rPr>
          <w:rFonts w:ascii="微软雅黑" w:hAnsi="微软雅黑" w:eastAsia="微软雅黑" w:cs="微软雅黑"/>
          <w:sz w:val="20"/>
        </w:rPr>
        <w:t>有力演示——如何让自己文章、报告、PPT逻辑清晰？</w:t>
      </w:r>
    </w:p>
    <w:p w14:paraId="4FD2A77A">
      <w:r>
        <w:rPr>
          <w:rFonts w:ascii="微软雅黑" w:hAnsi="微软雅黑" w:eastAsia="微软雅黑" w:cs="微软雅黑"/>
          <w:sz w:val="20"/>
        </w:rPr>
        <w:t>问题解决——如何高效结构化把问题搞定</w:t>
      </w:r>
    </w:p>
    <w:p w14:paraId="26FF9EC9"/>
    <w:p w14:paraId="0F23DFFD"/>
    <w:p w14:paraId="40D5A91A">
      <w:r>
        <w:rPr>
          <w:rFonts w:ascii="微软雅黑" w:hAnsi="微软雅黑" w:eastAsia="微软雅黑" w:cs="微软雅黑"/>
          <w:b/>
          <w:color w:val="000000"/>
          <w:sz w:val="22"/>
        </w:rPr>
        <w:t>3.思考的逻辑——怎么把复杂的事情理清楚?</w:t>
      </w:r>
    </w:p>
    <w:p w14:paraId="636CA240">
      <w:r>
        <w:rPr>
          <w:rFonts w:ascii="微软雅黑" w:hAnsi="微软雅黑" w:eastAsia="微软雅黑" w:cs="微软雅黑"/>
          <w:sz w:val="20"/>
        </w:rPr>
        <w:t>思考方式的3个阶段</w:t>
      </w:r>
    </w:p>
    <w:p w14:paraId="2C5CE7BF">
      <w:r>
        <w:rPr>
          <w:rFonts w:ascii="微软雅黑" w:hAnsi="微软雅黑" w:eastAsia="微软雅黑" w:cs="微软雅黑"/>
          <w:sz w:val="20"/>
        </w:rPr>
        <w:t>四个原则搞定金字塔原理</w:t>
      </w:r>
    </w:p>
    <w:p w14:paraId="7249E737">
      <w:r>
        <w:rPr>
          <w:rFonts w:ascii="微软雅黑" w:hAnsi="微软雅黑" w:eastAsia="微软雅黑" w:cs="微软雅黑"/>
          <w:sz w:val="20"/>
        </w:rPr>
        <w:t>结论先行——思考表达的灵魂</w:t>
      </w:r>
    </w:p>
    <w:p w14:paraId="0F80FBD4">
      <w:r>
        <w:rPr>
          <w:rFonts w:ascii="微软雅黑" w:hAnsi="微软雅黑" w:eastAsia="微软雅黑" w:cs="微软雅黑"/>
          <w:sz w:val="20"/>
        </w:rPr>
        <w:t>什么是好的结论？</w:t>
      </w:r>
    </w:p>
    <w:p w14:paraId="3E3A48CE">
      <w:r>
        <w:rPr>
          <w:rFonts w:ascii="微软雅黑" w:hAnsi="微软雅黑" w:eastAsia="微软雅黑" w:cs="微软雅黑"/>
          <w:sz w:val="20"/>
        </w:rPr>
        <w:t>提出洞见的关键工具——5SO追问法</w:t>
      </w:r>
    </w:p>
    <w:p w14:paraId="43AE6B49">
      <w:r>
        <w:rPr>
          <w:rFonts w:ascii="微软雅黑" w:hAnsi="微软雅黑" w:eastAsia="微软雅黑" w:cs="微软雅黑"/>
          <w:sz w:val="20"/>
        </w:rPr>
        <w:t>自下而上得出结论——演绎推理</w:t>
      </w:r>
    </w:p>
    <w:p w14:paraId="4164B744">
      <w:r>
        <w:rPr>
          <w:rFonts w:ascii="微软雅黑" w:hAnsi="微软雅黑" w:eastAsia="微软雅黑" w:cs="微软雅黑"/>
          <w:sz w:val="20"/>
        </w:rPr>
        <w:t>自下而上得出结论——归纳推理</w:t>
      </w:r>
    </w:p>
    <w:p w14:paraId="3AC73B7E">
      <w:r>
        <w:rPr>
          <w:rFonts w:ascii="微软雅黑" w:hAnsi="微软雅黑" w:eastAsia="微软雅黑" w:cs="微软雅黑"/>
          <w:sz w:val="20"/>
        </w:rPr>
        <w:t>实战演练：如何得出有价值的结论</w:t>
      </w:r>
    </w:p>
    <w:p w14:paraId="15C99A8B">
      <w:r>
        <w:rPr>
          <w:rFonts w:ascii="微软雅黑" w:hAnsi="微软雅黑" w:eastAsia="微软雅黑" w:cs="微软雅黑"/>
          <w:sz w:val="20"/>
        </w:rPr>
        <w:t>以上统下——金字塔结构稳定的关键</w:t>
      </w:r>
    </w:p>
    <w:p w14:paraId="366E7E6A">
      <w:r>
        <w:rPr>
          <w:rFonts w:ascii="微软雅黑" w:hAnsi="微软雅黑" w:eastAsia="微软雅黑" w:cs="微软雅黑"/>
          <w:sz w:val="20"/>
        </w:rPr>
        <w:t>归类分组——如何从繁杂的信息中脱身</w:t>
      </w:r>
    </w:p>
    <w:p w14:paraId="2FDAAC7A">
      <w:r>
        <w:rPr>
          <w:rFonts w:ascii="微软雅黑" w:hAnsi="微软雅黑" w:eastAsia="微软雅黑" w:cs="微软雅黑"/>
          <w:sz w:val="20"/>
        </w:rPr>
        <w:t>用MECE法则验证拆分要素</w:t>
      </w:r>
    </w:p>
    <w:p w14:paraId="35D76285">
      <w:r>
        <w:rPr>
          <w:rFonts w:ascii="微软雅黑" w:hAnsi="微软雅黑" w:eastAsia="微软雅黑" w:cs="微软雅黑"/>
          <w:sz w:val="20"/>
        </w:rPr>
        <w:t>相互独立，完全穷尽</w:t>
      </w:r>
    </w:p>
    <w:p w14:paraId="134B4BEF">
      <w:r>
        <w:rPr>
          <w:rFonts w:ascii="微软雅黑" w:hAnsi="微软雅黑" w:eastAsia="微软雅黑" w:cs="微软雅黑"/>
          <w:sz w:val="20"/>
        </w:rPr>
        <w:t>五种分类方法快速上手</w:t>
      </w:r>
    </w:p>
    <w:p w14:paraId="1F128619">
      <w:r>
        <w:rPr>
          <w:rFonts w:ascii="微软雅黑" w:hAnsi="微软雅黑" w:eastAsia="微软雅黑" w:cs="微软雅黑"/>
          <w:sz w:val="20"/>
        </w:rPr>
        <w:t>逻辑递进——如何让论点按照逻辑排列</w:t>
      </w:r>
    </w:p>
    <w:p w14:paraId="043A40C8">
      <w:r>
        <w:rPr>
          <w:rFonts w:ascii="微软雅黑" w:hAnsi="微软雅黑" w:eastAsia="微软雅黑" w:cs="微软雅黑"/>
          <w:sz w:val="20"/>
        </w:rPr>
        <w:t>人类组织信息的3个逻辑：</w:t>
      </w:r>
    </w:p>
    <w:p w14:paraId="2BB5DC9B">
      <w:r>
        <w:rPr>
          <w:rFonts w:ascii="微软雅黑" w:hAnsi="微软雅黑" w:eastAsia="微软雅黑" w:cs="微软雅黑"/>
          <w:sz w:val="20"/>
        </w:rPr>
        <w:t>①因果关系</w:t>
      </w:r>
    </w:p>
    <w:p w14:paraId="4E03ED2A">
      <w:r>
        <w:rPr>
          <w:rFonts w:ascii="微软雅黑" w:hAnsi="微软雅黑" w:eastAsia="微软雅黑" w:cs="微软雅黑"/>
          <w:sz w:val="20"/>
        </w:rPr>
        <w:t>②整体和部分的关系</w:t>
      </w:r>
    </w:p>
    <w:p w14:paraId="4993CF25">
      <w:r>
        <w:rPr>
          <w:rFonts w:ascii="微软雅黑" w:hAnsi="微软雅黑" w:eastAsia="微软雅黑" w:cs="微软雅黑"/>
          <w:sz w:val="20"/>
        </w:rPr>
        <w:t>③类似事物归类关系</w:t>
      </w:r>
    </w:p>
    <w:p w14:paraId="6E060C0D">
      <w:r>
        <w:rPr>
          <w:rFonts w:ascii="微软雅黑" w:hAnsi="微软雅黑" w:eastAsia="微软雅黑" w:cs="微软雅黑"/>
          <w:sz w:val="20"/>
        </w:rPr>
        <w:t>实战演练：逻辑关系如何解决工作问题</w:t>
      </w:r>
    </w:p>
    <w:p w14:paraId="530E888C"/>
    <w:p w14:paraId="3AAC85A0"/>
    <w:p w14:paraId="486A7C54">
      <w:r>
        <w:rPr>
          <w:rFonts w:ascii="微软雅黑" w:hAnsi="微软雅黑" w:eastAsia="微软雅黑" w:cs="微软雅黑"/>
          <w:b/>
          <w:color w:val="000000"/>
          <w:sz w:val="22"/>
        </w:rPr>
        <w:t>4.极致高效的表达——怎么说到点子上，让对方对你的观点感兴趣?</w:t>
      </w:r>
    </w:p>
    <w:p w14:paraId="450F89B8">
      <w:r>
        <w:rPr>
          <w:rFonts w:ascii="微软雅黑" w:hAnsi="微软雅黑" w:eastAsia="微软雅黑" w:cs="微软雅黑"/>
          <w:sz w:val="20"/>
        </w:rPr>
        <w:t>书面表达——怎么说清楚复杂事件?</w:t>
      </w:r>
    </w:p>
    <w:p w14:paraId="3EDAB49B">
      <w:r>
        <w:rPr>
          <w:rFonts w:ascii="微软雅黑" w:hAnsi="微软雅黑" w:eastAsia="微软雅黑" w:cs="微软雅黑"/>
          <w:sz w:val="20"/>
        </w:rPr>
        <w:t>如何写出吸引人的工作汇报</w:t>
      </w:r>
    </w:p>
    <w:p w14:paraId="64F8CA35">
      <w:r>
        <w:rPr>
          <w:rFonts w:ascii="微软雅黑" w:hAnsi="微软雅黑" w:eastAsia="微软雅黑" w:cs="微软雅黑"/>
          <w:sz w:val="20"/>
        </w:rPr>
        <w:t>用SCQA模型吸引读者</w:t>
      </w:r>
    </w:p>
    <w:p w14:paraId="588A72B5">
      <w:r>
        <w:rPr>
          <w:rFonts w:ascii="微软雅黑" w:hAnsi="微软雅黑" w:eastAsia="微软雅黑" w:cs="微软雅黑"/>
          <w:sz w:val="20"/>
        </w:rPr>
        <w:t>公众表达——怎么让你演讲的要点在30秒之内让听众明白?</w:t>
      </w:r>
    </w:p>
    <w:p w14:paraId="33D5087D">
      <w:r>
        <w:rPr>
          <w:rFonts w:ascii="微软雅黑" w:hAnsi="微软雅黑" w:eastAsia="微软雅黑" w:cs="微软雅黑"/>
          <w:sz w:val="20"/>
        </w:rPr>
        <w:t>提升工作表达能力的回报</w:t>
      </w:r>
    </w:p>
    <w:p w14:paraId="48DCF2D4">
      <w:r>
        <w:rPr>
          <w:rFonts w:ascii="微软雅黑" w:hAnsi="微软雅黑" w:eastAsia="微软雅黑" w:cs="微软雅黑"/>
          <w:sz w:val="20"/>
        </w:rPr>
        <w:t>极致公众表达的六化口诀</w:t>
      </w:r>
    </w:p>
    <w:p w14:paraId="54FE592C">
      <w:r>
        <w:rPr>
          <w:rFonts w:ascii="微软雅黑" w:hAnsi="微软雅黑" w:eastAsia="微软雅黑" w:cs="微软雅黑"/>
          <w:sz w:val="20"/>
        </w:rPr>
        <w:t>公众表达的核心结构化模型：</w:t>
      </w:r>
    </w:p>
    <w:p w14:paraId="6A4BD7BF">
      <w:r>
        <w:rPr>
          <w:rFonts w:ascii="微软雅黑" w:hAnsi="微软雅黑" w:eastAsia="微软雅黑" w:cs="微软雅黑"/>
          <w:sz w:val="20"/>
        </w:rPr>
        <w:t>①PREP——有理有据表达观点</w:t>
      </w:r>
    </w:p>
    <w:p w14:paraId="23BCAB51">
      <w:r>
        <w:rPr>
          <w:rFonts w:ascii="微软雅黑" w:hAnsi="微软雅黑" w:eastAsia="微软雅黑" w:cs="微软雅黑"/>
          <w:sz w:val="20"/>
        </w:rPr>
        <w:t>②时间轴——讲清楚事情来龙去脉</w:t>
      </w:r>
    </w:p>
    <w:p w14:paraId="5E9C668F">
      <w:r>
        <w:rPr>
          <w:rFonts w:ascii="微软雅黑" w:hAnsi="微软雅黑" w:eastAsia="微软雅黑" w:cs="微软雅黑"/>
          <w:sz w:val="20"/>
        </w:rPr>
        <w:t>③金字塔——聚焦于问题的对策</w:t>
      </w:r>
    </w:p>
    <w:p w14:paraId="1C6C76DB">
      <w:r>
        <w:rPr>
          <w:rFonts w:ascii="微软雅黑" w:hAnsi="微软雅黑" w:eastAsia="微软雅黑" w:cs="微软雅黑"/>
          <w:sz w:val="20"/>
        </w:rPr>
        <w:t>④黄金圈——职场底层思考结构</w:t>
      </w:r>
    </w:p>
    <w:p w14:paraId="6C90A048">
      <w:r>
        <w:rPr>
          <w:rFonts w:ascii="微软雅黑" w:hAnsi="微软雅黑" w:eastAsia="微软雅黑" w:cs="微软雅黑"/>
          <w:sz w:val="20"/>
        </w:rPr>
        <w:t>⑤NPA——让领导做判断题</w:t>
      </w:r>
    </w:p>
    <w:p w14:paraId="09B2E2AA">
      <w:r>
        <w:rPr>
          <w:rFonts w:ascii="微软雅黑" w:hAnsi="微软雅黑" w:eastAsia="微软雅黑" w:cs="微软雅黑"/>
          <w:sz w:val="20"/>
        </w:rPr>
        <w:t>⑥POP——让领导做选择题</w:t>
      </w:r>
    </w:p>
    <w:p w14:paraId="576B1802"/>
    <w:p w14:paraId="3DC93F30"/>
    <w:p w14:paraId="49462C71">
      <w:r>
        <w:rPr>
          <w:rFonts w:ascii="微软雅黑" w:hAnsi="微软雅黑" w:eastAsia="微软雅黑" w:cs="微软雅黑"/>
          <w:b/>
          <w:color w:val="000000"/>
          <w:sz w:val="22"/>
        </w:rPr>
        <w:t>5.有力演示——如何让自己文章、报告、PPT逻辑清晰？</w:t>
      </w:r>
    </w:p>
    <w:p w14:paraId="3197F9B6">
      <w:r>
        <w:rPr>
          <w:rFonts w:ascii="微软雅黑" w:hAnsi="微软雅黑" w:eastAsia="微软雅黑" w:cs="微软雅黑"/>
          <w:sz w:val="20"/>
        </w:rPr>
        <w:t>书面</w:t>
      </w:r>
    </w:p>
    <w:p w14:paraId="2C6A5D69">
      <w:r>
        <w:rPr>
          <w:rFonts w:ascii="微软雅黑" w:hAnsi="微软雅黑" w:eastAsia="微软雅黑" w:cs="微软雅黑"/>
          <w:sz w:val="20"/>
        </w:rPr>
        <w:t>通过掌握好上下文的过渡，让书面表达有节奏感</w:t>
      </w:r>
    </w:p>
    <w:p w14:paraId="2C1369A9">
      <w:r>
        <w:rPr>
          <w:rFonts w:ascii="微软雅黑" w:hAnsi="微软雅黑" w:eastAsia="微软雅黑" w:cs="微软雅黑"/>
          <w:sz w:val="20"/>
        </w:rPr>
        <w:t>讲一个好故事</w:t>
      </w:r>
    </w:p>
    <w:p w14:paraId="1F5E55F4">
      <w:r>
        <w:rPr>
          <w:rFonts w:ascii="微软雅黑" w:hAnsi="微软雅黑" w:eastAsia="微软雅黑" w:cs="微软雅黑"/>
          <w:sz w:val="20"/>
        </w:rPr>
        <w:t>好故事的两个核心</w:t>
      </w:r>
    </w:p>
    <w:p w14:paraId="28B44D15">
      <w:r>
        <w:rPr>
          <w:rFonts w:ascii="微软雅黑" w:hAnsi="微软雅黑" w:eastAsia="微软雅黑" w:cs="微软雅黑"/>
          <w:sz w:val="20"/>
        </w:rPr>
        <w:t>写好故事的六个步骤</w:t>
      </w:r>
    </w:p>
    <w:p w14:paraId="32B253A2">
      <w:r>
        <w:rPr>
          <w:rFonts w:ascii="微软雅黑" w:hAnsi="微软雅黑" w:eastAsia="微软雅黑" w:cs="微软雅黑"/>
          <w:sz w:val="20"/>
        </w:rPr>
        <w:t>PPT</w:t>
      </w:r>
    </w:p>
    <w:p w14:paraId="4774F635">
      <w:r>
        <w:rPr>
          <w:rFonts w:ascii="微软雅黑" w:hAnsi="微软雅黑" w:eastAsia="微软雅黑" w:cs="微软雅黑"/>
          <w:sz w:val="20"/>
        </w:rPr>
        <w:t>PPT学习效果持续提升四步法</w:t>
      </w:r>
    </w:p>
    <w:p w14:paraId="2A8B7317">
      <w:r>
        <w:rPr>
          <w:rFonts w:ascii="微软雅黑" w:hAnsi="微软雅黑" w:eastAsia="微软雅黑" w:cs="微软雅黑"/>
          <w:sz w:val="20"/>
        </w:rPr>
        <w:t>结构化演示目的是第一步</w:t>
      </w:r>
    </w:p>
    <w:p w14:paraId="2180B3A7">
      <w:r>
        <w:rPr>
          <w:rFonts w:ascii="微软雅黑" w:hAnsi="微软雅黑" w:eastAsia="微软雅黑" w:cs="微软雅黑"/>
          <w:sz w:val="20"/>
        </w:rPr>
        <w:t>结构化表达的思考步骤来捋清思路</w:t>
      </w:r>
    </w:p>
    <w:p w14:paraId="1DB56075">
      <w:r>
        <w:rPr>
          <w:rFonts w:ascii="微软雅黑" w:hAnsi="微软雅黑" w:eastAsia="微软雅黑" w:cs="微软雅黑"/>
          <w:sz w:val="20"/>
        </w:rPr>
        <w:t>演示中的结构化保持观众专注力</w:t>
      </w:r>
    </w:p>
    <w:p w14:paraId="0B9A0E85">
      <w:r>
        <w:rPr>
          <w:rFonts w:ascii="微软雅黑" w:hAnsi="微软雅黑" w:eastAsia="微软雅黑" w:cs="微软雅黑"/>
          <w:sz w:val="20"/>
        </w:rPr>
        <w:t>简单易上手的演示结构化工具——SMART ART</w:t>
      </w:r>
    </w:p>
    <w:p w14:paraId="4BA8FD49"/>
    <w:p w14:paraId="409F9B0A"/>
    <w:p w14:paraId="32FF2228">
      <w:r>
        <w:rPr>
          <w:rFonts w:ascii="微软雅黑" w:hAnsi="微软雅黑" w:eastAsia="微软雅黑" w:cs="微软雅黑"/>
          <w:b/>
          <w:color w:val="000000"/>
          <w:sz w:val="22"/>
        </w:rPr>
        <w:t>6.解决问题的逻辑——如何高效结构化把问题搞定</w:t>
      </w:r>
    </w:p>
    <w:p w14:paraId="1CC12306">
      <w:r>
        <w:rPr>
          <w:rFonts w:ascii="微软雅黑" w:hAnsi="微软雅黑" w:eastAsia="微软雅黑" w:cs="微软雅黑"/>
          <w:sz w:val="20"/>
        </w:rPr>
        <w:t>如何界定问题?</w:t>
      </w:r>
    </w:p>
    <w:p w14:paraId="4D20A80E">
      <w:r>
        <w:rPr>
          <w:rFonts w:ascii="微软雅黑" w:hAnsi="微软雅黑" w:eastAsia="微软雅黑" w:cs="微软雅黑"/>
          <w:sz w:val="20"/>
        </w:rPr>
        <w:t>如何结构化分析问题?</w:t>
      </w:r>
    </w:p>
    <w:p w14:paraId="5FBA7111">
      <w:r>
        <w:rPr>
          <w:rFonts w:ascii="微软雅黑" w:hAnsi="微软雅黑" w:eastAsia="微软雅黑" w:cs="微软雅黑"/>
          <w:sz w:val="20"/>
        </w:rPr>
        <w:t>如何检验解决方案的有效性?</w:t>
      </w:r>
    </w:p>
    <w:p w14:paraId="6BD8F897">
      <w:r>
        <w:rPr>
          <w:rFonts w:ascii="微软雅黑" w:hAnsi="微软雅黑" w:eastAsia="微软雅黑" w:cs="微软雅黑"/>
          <w:sz w:val="20"/>
        </w:rPr>
        <w:t>沙盘实战模拟</w:t>
      </w:r>
    </w:p>
    <w:p w14:paraId="5BFE55A1"/>
    <w:p w14:paraId="5F173476"/>
    <w:p w14:paraId="3812A006">
      <w:r>
        <w:rPr>
          <w:rFonts w:ascii="微软雅黑" w:hAnsi="微软雅黑" w:eastAsia="微软雅黑" w:cs="微软雅黑"/>
          <w:b/>
          <w:color w:val="2E74B5"/>
          <w:sz w:val="26"/>
        </w:rPr>
        <w:t>讲师介绍/Lecturer</w:t>
      </w:r>
    </w:p>
    <w:p w14:paraId="717D53C4">
      <w:r>
        <w:rPr>
          <w:rFonts w:ascii="微软雅黑" w:hAnsi="微软雅黑" w:eastAsia="微软雅黑" w:cs="微软雅黑"/>
          <w:b/>
          <w:color w:val="000000"/>
          <w:sz w:val="22"/>
        </w:rPr>
        <w:t>姜老师</w:t>
      </w:r>
    </w:p>
    <w:p w14:paraId="45681930">
      <w:r>
        <w:rPr>
          <w:rFonts w:ascii="微软雅黑" w:hAnsi="微软雅黑" w:eastAsia="微软雅黑" w:cs="微软雅黑"/>
          <w:sz w:val="20"/>
        </w:rPr>
        <w:t>10年+经验『实战派』培训专家</w:t>
      </w:r>
    </w:p>
    <w:p w14:paraId="50ABFC34">
      <w:r>
        <w:rPr>
          <w:rFonts w:ascii="微软雅黑" w:hAnsi="微软雅黑" w:eastAsia="微软雅黑" w:cs="微软雅黑"/>
          <w:sz w:val="20"/>
        </w:rPr>
        <w:t>大型金融集团高级培训总监</w:t>
      </w:r>
    </w:p>
    <w:p w14:paraId="7003673A">
      <w:r>
        <w:rPr>
          <w:rFonts w:ascii="微软雅黑" w:hAnsi="微软雅黑" w:eastAsia="微软雅黑" w:cs="微软雅黑"/>
          <w:sz w:val="20"/>
        </w:rPr>
        <w:t>资深客户服务顾问专家，『极致客户体验』挑战者</w:t>
      </w:r>
    </w:p>
    <w:p w14:paraId="6D8C39DF">
      <w:r>
        <w:rPr>
          <w:rFonts w:ascii="微软雅黑" w:hAnsi="微软雅黑" w:eastAsia="微软雅黑" w:cs="微软雅黑"/>
          <w:sz w:val="20"/>
        </w:rPr>
        <w:t>成功为108家企业打造『明星客服团队』</w:t>
      </w:r>
    </w:p>
    <w:p w14:paraId="2D72222F">
      <w:r>
        <w:rPr>
          <w:rFonts w:ascii="微软雅黑" w:hAnsi="微软雅黑" w:eastAsia="微软雅黑" w:cs="微软雅黑"/>
          <w:sz w:val="20"/>
        </w:rPr>
        <w:t>情境体验式培训专家</w:t>
      </w:r>
    </w:p>
    <w:p w14:paraId="55C03A94">
      <w:r>
        <w:rPr>
          <w:rFonts w:ascii="微软雅黑" w:hAnsi="微软雅黑" w:eastAsia="微软雅黑" w:cs="微软雅黑"/>
          <w:sz w:val="20"/>
        </w:rPr>
        <w:t>世界500强企业『首席合作导师』</w:t>
      </w:r>
    </w:p>
    <w:p w14:paraId="089DD2AB">
      <w:r>
        <w:rPr>
          <w:rFonts w:ascii="微软雅黑" w:hAnsi="微软雅黑" w:eastAsia="微软雅黑" w:cs="微软雅黑"/>
          <w:sz w:val="20"/>
        </w:rPr>
        <w:t>英国博赞思维导图『认证管理师』</w:t>
      </w:r>
    </w:p>
    <w:p w14:paraId="482E6349">
      <w:r>
        <w:rPr>
          <w:rFonts w:ascii="微软雅黑" w:hAnsi="微软雅黑" w:eastAsia="微软雅黑" w:cs="微软雅黑"/>
          <w:sz w:val="20"/>
        </w:rPr>
        <w:t>某大型制造企业常年管理顾问，期间成功培养至少80名新晋管理者，实操经验丰富</w:t>
      </w:r>
    </w:p>
    <w:p w14:paraId="4F127609">
      <w:r>
        <w:rPr>
          <w:rFonts w:ascii="微软雅黑" w:hAnsi="微软雅黑" w:eastAsia="微软雅黑" w:cs="微软雅黑"/>
          <w:sz w:val="20"/>
        </w:rPr>
        <w:t>全国授课1000+场，服务人数超10000+</w:t>
      </w:r>
    </w:p>
    <w:p w14:paraId="0E77AF4B">
      <w:r>
        <w:rPr>
          <w:rFonts w:ascii="微软雅黑" w:hAnsi="微软雅黑" w:eastAsia="微软雅黑" w:cs="微软雅黑"/>
          <w:sz w:val="20"/>
        </w:rPr>
        <w:t>先后为网易、中信资本、招商银行、强生药业等大型集团企业提供服务</w:t>
      </w:r>
    </w:p>
    <w:p w14:paraId="00F42E5F"/>
    <w:p w14:paraId="2000E45F"/>
    <w:p w14:paraId="5495BB0E">
      <w:r>
        <w:rPr>
          <w:rFonts w:ascii="微软雅黑" w:hAnsi="微软雅黑" w:eastAsia="微软雅黑" w:cs="微软雅黑"/>
          <w:b/>
          <w:color w:val="000000"/>
          <w:sz w:val="22"/>
        </w:rPr>
        <w:t>专业领域</w:t>
      </w:r>
    </w:p>
    <w:p w14:paraId="53B78CE5">
      <w:r>
        <w:rPr>
          <w:rFonts w:ascii="微软雅黑" w:hAnsi="微软雅黑" w:eastAsia="微软雅黑" w:cs="微软雅黑"/>
          <w:sz w:val="20"/>
        </w:rPr>
        <w:t>姜老师具备超过15年的企业管理及培训经验。曾带领数十人的销售团队，设计、组织、举办高端国际峰会、专业工作坊、专业公开课培训、企业内训、咨询项目等1000+场，服务人数超10000+。对管理工作中的团队管理与激励、流程优化、新客户开发、销售技巧辅导、客户服务与维护等关键环节有独到的见解和实战经验。曾任大型金融集团高级培训总监，带领培训部门开展培训体系搭建、阶梯人才培养计划、管培生培养、移动学习运营、内部讲师培养认证等工作。</w:t>
      </w:r>
    </w:p>
    <w:p w14:paraId="6291604B"/>
    <w:p w14:paraId="541F07C6"/>
    <w:p w14:paraId="5B7B7B15">
      <w:r>
        <w:rPr>
          <w:rFonts w:ascii="微软雅黑" w:hAnsi="微软雅黑" w:eastAsia="微软雅黑" w:cs="微软雅黑"/>
          <w:b/>
          <w:color w:val="000000"/>
          <w:sz w:val="22"/>
        </w:rPr>
        <w:t>课程特色</w:t>
      </w:r>
    </w:p>
    <w:p w14:paraId="4BED9393">
      <w:r>
        <w:rPr>
          <w:rFonts w:ascii="微软雅黑" w:hAnsi="微软雅黑" w:eastAsia="微软雅黑" w:cs="微软雅黑"/>
          <w:sz w:val="20"/>
        </w:rPr>
        <w:t>实战性强，案例丰富前沿，大部分取自真实经历，干货满满。</w:t>
      </w:r>
    </w:p>
    <w:p w14:paraId="7AD8748A">
      <w:r>
        <w:rPr>
          <w:rFonts w:ascii="微软雅黑" w:hAnsi="微软雅黑" w:eastAsia="微软雅黑" w:cs="微软雅黑"/>
          <w:sz w:val="20"/>
        </w:rPr>
        <w:t>情境体验式教学模式，真实的场景模拟演练，问题现场还原，逐个击破。</w:t>
      </w:r>
    </w:p>
    <w:p w14:paraId="4F59D14F">
      <w:r>
        <w:rPr>
          <w:rFonts w:ascii="微软雅黑" w:hAnsi="微软雅黑" w:eastAsia="微软雅黑" w:cs="微软雅黑"/>
          <w:sz w:val="20"/>
        </w:rPr>
        <w:t>课前充分调研，根据学员特色，灵活调整，针对性强，绝不一个课件讲天下。</w:t>
      </w:r>
    </w:p>
    <w:p w14:paraId="469C62D5">
      <w:r>
        <w:rPr>
          <w:rFonts w:ascii="微软雅黑" w:hAnsi="微软雅黑" w:eastAsia="微软雅黑" w:cs="微软雅黑"/>
          <w:sz w:val="20"/>
        </w:rPr>
        <w:t>轻松幽默、互动性强，配有学员提问与解答环节。</w:t>
      </w:r>
    </w:p>
    <w:p w14:paraId="57F05E3D"/>
    <w:p w14:paraId="22EC2731"/>
    <w:p w14:paraId="74C46699">
      <w:r>
        <w:rPr>
          <w:rFonts w:ascii="微软雅黑" w:hAnsi="微软雅黑" w:eastAsia="微软雅黑" w:cs="微软雅黑"/>
          <w:b/>
          <w:color w:val="000000"/>
          <w:sz w:val="22"/>
        </w:rPr>
        <w:t>擅长课程（可根据企业需求定制内训）：</w:t>
      </w:r>
    </w:p>
    <w:p w14:paraId="065D0694">
      <w:r>
        <w:rPr>
          <w:rFonts w:ascii="微软雅黑" w:hAnsi="微软雅黑" w:eastAsia="微软雅黑" w:cs="微软雅黑"/>
          <w:sz w:val="20"/>
        </w:rPr>
        <w:t>职场软技能：</w:t>
      </w:r>
    </w:p>
    <w:p w14:paraId="485E671F">
      <w:r>
        <w:rPr>
          <w:rFonts w:ascii="微软雅黑" w:hAnsi="微软雅黑" w:eastAsia="微软雅黑" w:cs="微软雅黑"/>
          <w:sz w:val="20"/>
        </w:rPr>
        <w:t>《掌控沟通力》</w:t>
      </w:r>
    </w:p>
    <w:p w14:paraId="6E0F59E9">
      <w:r>
        <w:rPr>
          <w:rFonts w:ascii="微软雅黑" w:hAnsi="微软雅黑" w:eastAsia="微软雅黑" w:cs="微软雅黑"/>
          <w:sz w:val="20"/>
        </w:rPr>
        <w:t>《引爆视觉力》</w:t>
      </w:r>
    </w:p>
    <w:p w14:paraId="3FB7C091">
      <w:r>
        <w:rPr>
          <w:rFonts w:ascii="微软雅黑" w:hAnsi="微软雅黑" w:eastAsia="微软雅黑" w:cs="微软雅黑"/>
          <w:sz w:val="20"/>
        </w:rPr>
        <w:t>《职场新人生存指南》</w:t>
      </w:r>
    </w:p>
    <w:p w14:paraId="32520FDC">
      <w:r>
        <w:rPr>
          <w:rFonts w:ascii="微软雅黑" w:hAnsi="微软雅黑" w:eastAsia="微软雅黑" w:cs="微软雅黑"/>
          <w:sz w:val="20"/>
        </w:rPr>
        <w:t>《新晋主管难题训练营》</w:t>
      </w:r>
    </w:p>
    <w:p w14:paraId="6B310EB3">
      <w:r>
        <w:rPr>
          <w:rFonts w:ascii="微软雅黑" w:hAnsi="微软雅黑" w:eastAsia="微软雅黑" w:cs="微软雅黑"/>
          <w:sz w:val="20"/>
        </w:rPr>
        <w:t>销售类：</w:t>
      </w:r>
    </w:p>
    <w:p w14:paraId="2480FBFD">
      <w:r>
        <w:rPr>
          <w:rFonts w:ascii="微软雅黑" w:hAnsi="微软雅黑" w:eastAsia="微软雅黑" w:cs="微软雅黑"/>
          <w:sz w:val="20"/>
        </w:rPr>
        <w:t>《电销成长日记》</w:t>
      </w:r>
    </w:p>
    <w:p w14:paraId="797DD8CC">
      <w:r>
        <w:rPr>
          <w:rFonts w:ascii="微软雅黑" w:hAnsi="微软雅黑" w:eastAsia="微软雅黑" w:cs="微软雅黑"/>
          <w:sz w:val="20"/>
        </w:rPr>
        <w:t>客户服务类：</w:t>
      </w:r>
    </w:p>
    <w:p w14:paraId="77BAF865">
      <w:r>
        <w:rPr>
          <w:rFonts w:ascii="微软雅黑" w:hAnsi="微软雅黑" w:eastAsia="微软雅黑" w:cs="微软雅黑"/>
          <w:sz w:val="20"/>
        </w:rPr>
        <w:t>《照亮客户 – 卓越客户服务》</w:t>
      </w:r>
    </w:p>
    <w:p w14:paraId="5D307A79">
      <w:r>
        <w:rPr>
          <w:rFonts w:ascii="微软雅黑" w:hAnsi="微软雅黑" w:eastAsia="微软雅黑" w:cs="微软雅黑"/>
          <w:sz w:val="20"/>
        </w:rPr>
        <w:t>《客户投诉救火队》</w:t>
      </w:r>
    </w:p>
    <w:p w14:paraId="7D9E52FF"/>
    <w:p w14:paraId="1D9B3801"/>
    <w:p w14:paraId="133F0FB7">
      <w:r>
        <w:rPr>
          <w:rFonts w:ascii="微软雅黑" w:hAnsi="微软雅黑" w:eastAsia="微软雅黑" w:cs="微软雅黑"/>
          <w:b/>
          <w:color w:val="000000"/>
          <w:sz w:val="22"/>
        </w:rPr>
        <w:t>客户案例</w:t>
      </w:r>
    </w:p>
    <w:p w14:paraId="5C002B3B">
      <w:r>
        <w:rPr>
          <w:rFonts w:ascii="微软雅黑" w:hAnsi="微软雅黑" w:eastAsia="微软雅黑" w:cs="微软雅黑"/>
          <w:sz w:val="20"/>
        </w:rPr>
        <w:t>LexisNexis、TNT亚太、达能亚太、展讯通信、GKN中国、博斯特中国、氰特化学、HMD建筑设计、唐纳森中国、泰科电子、飞格物流、罗德公关、凯捷中国、炬力半导体、华新水泥、中信资本、中信集团高山别庄酒店、ClubMed、罗克韦尔柯林斯、网易、凯毅德汽车系统、轻轻家教、璐彩特化学、Autodesk、罗克韦尔柯林斯、广州贵金属交易中心、招商银行、金赛药业、强生药业、中国邮政</w:t>
      </w:r>
    </w:p>
    <w:p w14:paraId="6A0559E7"/>
    <w:p w14:paraId="308CC46D"/>
    <w:sectPr>
      <w:headerReference r:id="rId4" w:type="first"/>
      <w:headerReference r:id="rId3" w:type="default"/>
      <w:type w:val="continuous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A9BD0">
    <w:pPr>
      <w:pStyle w:val="4"/>
      <w:pBdr>
        <w:bottom w:val="single" w:color="D8D8D8" w:themeColor="background1" w:themeShade="D9" w:sz="6" w:space="8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15FE7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cxMDVjNTU5Y2FhZTRlYjE1Y2IxMzE4ZWZiMmMifQ=="/>
  </w:docVars>
  <w:rsids>
    <w:rsidRoot w:val="00000000"/>
    <w:rsid w:val="69D7636A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qFormat/>
    <w:uiPriority w:val="99"/>
    <w:rPr>
      <w:sz w:val="18"/>
      <w:szCs w:val="18"/>
    </w:rPr>
  </w:style>
  <w:style w:type="character" w:customStyle="1" w:styleId="9">
    <w:name w:val="页脚 字符"/>
    <w:basedOn w:val="7"/>
    <w:qFormat/>
    <w:uiPriority w:val="99"/>
    <w:rPr>
      <w:sz w:val="18"/>
      <w:szCs w:val="18"/>
    </w:rPr>
  </w:style>
  <w:style w:type="table" w:customStyle="1" w:styleId="1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269</cp:revision>
  <dcterms:created xsi:type="dcterms:W3CDTF">2021-12-30T11:55:00Z</dcterms:created>
  <dcterms:modified xsi:type="dcterms:W3CDTF">2024-11-27T13:20:00Z</dcterms:modified>
</cp:coreProperties>
</file>

<file path=customXml/itemProps1.xml><?xml version="1.0" encoding="utf-8"?>
<ds:datastoreItem xmlns:ds="http://schemas.openxmlformats.org/officeDocument/2006/customXml" ds:itemID="{1295FFCC-A8D6-4252-8D73-C0605AF162FC}">
  <ds:schemaRefs/>
</ds:datastoreItem>
</file>

<file path=customXml/itemProps2.xml><?xml version="1.0" encoding="utf-8"?>
<ds:datastoreItem xmlns:ds="http://schemas.openxmlformats.org/officeDocument/2006/customXml" ds:itemID="{EAD93815-8B47-4B90-B4B3-B77D396BA7B2}">
  <ds:schemaRefs/>
</ds:datastoreItem>
</file>

<file path=customXml/itemProps3.xml><?xml version="1.0" encoding="utf-8"?>
<ds:datastoreItem xmlns:ds="http://schemas.openxmlformats.org/officeDocument/2006/customXml" ds:itemID="{4943E5E0-F2EA-4BA1-BC14-B3A66A82A148}">
  <ds:schemaRefs/>
</ds:datastoreItem>
</file>

<file path=customXml/itemProps4.xml><?xml version="1.0" encoding="utf-8"?>
<ds:datastoreItem xmlns:ds="http://schemas.openxmlformats.org/officeDocument/2006/customXml" ds:itemID="{81354220-907C-4313-A0E9-24F4045478FC}">
  <ds:schemaRefs/>
</ds:datastoreItem>
</file>

<file path=customXml/itemProps5.xml><?xml version="1.0" encoding="utf-8"?>
<ds:datastoreItem xmlns:ds="http://schemas.openxmlformats.org/officeDocument/2006/customXml" ds:itemID="{03f5d41a-c6bb-4943-80ee-eab00f944284}">
  <ds:schemaRefs/>
</ds:datastoreItem>
</file>

<file path=customXml/itemProps6.xml><?xml version="1.0" encoding="utf-8"?>
<ds:datastoreItem xmlns:ds="http://schemas.openxmlformats.org/officeDocument/2006/customXml" ds:itemID="{f4df4f9c-79f4-415f-9582-df20d15ccb29}">
  <ds:schemaRefs/>
</ds:datastoreItem>
</file>

<file path=customXml/itemProps7.xml><?xml version="1.0" encoding="utf-8"?>
<ds:datastoreItem xmlns:ds="http://schemas.openxmlformats.org/officeDocument/2006/customXml" ds:itemID="{c290730b-0edb-46a8-bca8-22263fbd5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2448</Words>
  <Characters>2766</Characters>
  <Lines>1</Lines>
  <Paragraphs>1</Paragraphs>
  <TotalTime>28</TotalTime>
  <ScaleCrop>false</ScaleCrop>
  <LinksUpToDate>false</LinksUpToDate>
  <CharactersWithSpaces>2865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2021-12-30T11:55:00Z</dcterms:created>
  <dc:creator>Shen Penny</dc:creator>
  <cp:lastModifiedBy>Yan</cp:lastModifiedBy>
  <dcterms:modified xsi:type="dcterms:W3CDTF">2025-04-23T07:21:28Z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83C946D864E14341A733CA0D6E9ED8BB_13</vt:lpwstr>
  </property>
</Properties>
</file>