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BD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51321466"/>
      <w:r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highlight w:val="none"/>
          <w:lang w:eastAsia="zh-Hans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highlight w:val="none"/>
          <w:lang w:val="en-US" w:eastAsia="zh-Hans"/>
        </w:rPr>
        <w:t>类员工离职情形及优化谈判实务</w:t>
      </w:r>
      <w:r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》</w:t>
      </w:r>
    </w:p>
    <w:p w14:paraId="3F4BA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  <w:t>【报名详情】</w:t>
      </w:r>
    </w:p>
    <w:p w14:paraId="7F0C9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 Regular" w:hAnsi="Microsoft YaHei Regular" w:eastAsia="Microsoft YaHei Regular" w:cs="Microsoft YaHei Regular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>场次： 202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  <w:lang w:val="en-US" w:eastAsia="zh-CN"/>
        </w:rPr>
        <w:t>5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>年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  <w:lang w:val="en-US" w:eastAsia="zh-CN"/>
        </w:rPr>
        <w:t>7月25日-26日深圳，11月28日-29日杭州</w:t>
      </w:r>
    </w:p>
    <w:p w14:paraId="4E777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 xml:space="preserve">费用： 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  <w:lang w:val="en-US" w:eastAsia="zh-CN"/>
        </w:rPr>
        <w:t>4</w:t>
      </w: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u w:val="single"/>
        </w:rPr>
        <w:t>980元/ 人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>（差旅费用请自理）</w:t>
      </w:r>
    </w:p>
    <w:p w14:paraId="5FC434DA">
      <w:pPr>
        <w:spacing w:line="420" w:lineRule="exact"/>
        <w:jc w:val="left"/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  <w:t>【课程背景】</w:t>
      </w:r>
    </w:p>
    <w:p w14:paraId="2E42F3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420" w:firstLineChars="200"/>
        <w:textAlignment w:val="auto"/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随着法律体系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员工法律意识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维权途径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法律能力的变化等影响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企业需要从碎片式的合规方式调整为建立系统性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全面性预警合规机制建设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因此特设计本次课程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。</w:t>
      </w:r>
    </w:p>
    <w:p w14:paraId="55CB49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420" w:firstLineChars="200"/>
        <w:textAlignment w:val="auto"/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从内容框架角度讲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涵盖所有劳资双方结束关系的情形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；</w:t>
      </w:r>
    </w:p>
    <w:p w14:paraId="429FB7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420" w:firstLineChars="200"/>
        <w:textAlignment w:val="auto"/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从研习逻辑讲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每一解除方式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都从法定概念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解除流程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高频风险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成本结算等角度进行全纬度讲解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；</w:t>
      </w:r>
    </w:p>
    <w:p w14:paraId="0BD16D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420" w:firstLineChars="200"/>
        <w:textAlignment w:val="auto"/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从劳动法规的地方差异讲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除了体系讲解全国和各省市共性内容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还要单独增加地方深化课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保障体系内容在各地区的适用性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；</w:t>
      </w:r>
    </w:p>
    <w:p w14:paraId="084549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420" w:firstLineChars="200"/>
        <w:textAlignment w:val="auto"/>
        <w:rPr>
          <w:rFonts w:hint="eastAsia"/>
          <w:lang w:val="en-US" w:eastAsia="zh-Hans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从学习效果保障讲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有体系学习输入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课程演练输出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highlight w:val="none"/>
          <w:lang w:val="en-US" w:eastAsia="zh-Hans" w:bidi="ar-SA"/>
        </w:rPr>
        <w:t>训练营全过程答疑解惑来保障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highlight w:val="none"/>
          <w:lang w:eastAsia="zh-Hans" w:bidi="ar-SA"/>
        </w:rPr>
        <w:t>。</w:t>
      </w:r>
    </w:p>
    <w:p w14:paraId="6F868D87">
      <w:pPr>
        <w:spacing w:line="420" w:lineRule="exact"/>
        <w:jc w:val="lef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  <w:lang w:val="en-US" w:eastAsia="zh-CN"/>
        </w:rPr>
        <w:t>培训目标</w:t>
      </w: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  <w:t>】</w:t>
      </w:r>
    </w:p>
    <w:bookmarkEnd w:id="0"/>
    <w:p w14:paraId="1CEF0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default" w:ascii="微软雅黑" w:hAnsi="微软雅黑" w:eastAsia="微软雅黑" w:cs="微软雅黑"/>
          <w:sz w:val="21"/>
          <w:szCs w:val="21"/>
        </w:rPr>
        <w:t>本课程体系</w:t>
      </w:r>
      <w:r>
        <w:rPr>
          <w:rFonts w:hint="eastAsia" w:ascii="微软雅黑" w:hAnsi="微软雅黑" w:eastAsia="微软雅黑" w:cs="微软雅黑"/>
          <w:sz w:val="21"/>
          <w:szCs w:val="21"/>
        </w:rPr>
        <w:t>以帮助HR提升劳动法律知识应用能力及员工关系实务管理能力。</w:t>
      </w:r>
    </w:p>
    <w:p w14:paraId="6E76B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default" w:ascii="微软雅黑" w:hAnsi="微软雅黑" w:eastAsia="微软雅黑" w:cs="微软雅黑"/>
          <w:sz w:val="21"/>
          <w:szCs w:val="21"/>
        </w:rPr>
        <w:t>本课程体系</w:t>
      </w:r>
      <w:r>
        <w:rPr>
          <w:rFonts w:hint="eastAsia" w:ascii="微软雅黑" w:hAnsi="微软雅黑" w:eastAsia="微软雅黑" w:cs="微软雅黑"/>
          <w:sz w:val="21"/>
          <w:szCs w:val="21"/>
        </w:rPr>
        <w:t>以帮助HR成为具备人力资源管理能力+法务实操能力的双向人才。</w:t>
      </w:r>
    </w:p>
    <w:p w14:paraId="29BA5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◆ 法律体系：HR必备法律体系及法律逻辑体系</w:t>
      </w:r>
    </w:p>
    <w:p w14:paraId="5F9EC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◆ 法务能力：系统掌握法律结合员工关系处理实操的方法</w:t>
      </w:r>
    </w:p>
    <w:p w14:paraId="14A7E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◆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工具</w:t>
      </w:r>
      <w:r>
        <w:rPr>
          <w:rFonts w:hint="eastAsia" w:ascii="微软雅黑" w:hAnsi="微软雅黑" w:eastAsia="微软雅黑" w:cs="微软雅黑"/>
          <w:sz w:val="21"/>
          <w:szCs w:val="21"/>
        </w:rPr>
        <w:t>设计：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培养用工表单</w:t>
      </w:r>
      <w:r>
        <w:rPr>
          <w:rFonts w:hint="default" w:ascii="微软雅黑" w:hAnsi="微软雅黑" w:eastAsia="微软雅黑" w:cs="微软雅黑"/>
          <w:sz w:val="21"/>
          <w:szCs w:val="21"/>
          <w:lang w:eastAsia="zh-Hans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Hans"/>
        </w:rPr>
        <w:t>协议的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设计修订能力 </w:t>
      </w:r>
    </w:p>
    <w:p w14:paraId="16218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◆ 风险防控：提升企业劳资纠纷法律风险预判、分析、防范能力</w:t>
      </w:r>
    </w:p>
    <w:p w14:paraId="0456E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/>
          <w:bCs/>
          <w:color w:val="C00000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◆ 和谐稳定：帮助企业调整管理思路，维持劳动关系和谐稳定</w:t>
      </w:r>
    </w:p>
    <w:p w14:paraId="220901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C00000"/>
          <w:sz w:val="21"/>
          <w:szCs w:val="21"/>
        </w:rPr>
        <w:t xml:space="preserve">【课程大纲】 </w:t>
      </w:r>
    </w:p>
    <w:p w14:paraId="69BF1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第一章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企业解除10类情形</w:t>
      </w:r>
    </w:p>
    <w:p w14:paraId="62C83C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过错性辞退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】</w:t>
      </w:r>
    </w:p>
    <w:p w14:paraId="2E666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一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过错性辞退风控操作指引（不符合录用条件解除）</w:t>
      </w:r>
    </w:p>
    <w:p w14:paraId="72BFB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不符合录用条件”法定概念分析</w:t>
      </w:r>
    </w:p>
    <w:p w14:paraId="44F0E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不符合录用条件”解除流程指引</w:t>
      </w:r>
    </w:p>
    <w:p w14:paraId="2786D2A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录用条件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”10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类共性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+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个性条款设计</w:t>
      </w:r>
    </w:p>
    <w:p w14:paraId="77D319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解除高频风控实务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试用期内精神病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工伤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培训服务期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泡病号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 w14:paraId="2CBB7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二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过错性辞退风控操作指引（严重违规解除）</w:t>
      </w:r>
    </w:p>
    <w:p w14:paraId="25946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严重违反用人单位规章制度中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严重”法定概念分析</w:t>
      </w:r>
    </w:p>
    <w:p w14:paraId="1C460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严重违规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”解除流程指引</w:t>
      </w:r>
    </w:p>
    <w:p w14:paraId="7439160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解除高频风控实务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（小错不断/大错不犯、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旷工处理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异议程序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无适用条款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 w14:paraId="59B1D7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三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过错性辞退风控操作指引（严重失职解除）</w:t>
      </w:r>
    </w:p>
    <w:p w14:paraId="28C66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严重失职”“营私舞弊”“重大损害”法定概念分析</w:t>
      </w:r>
    </w:p>
    <w:p w14:paraId="14E6A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严重失职，营私舞弊，给用人单位造成重大损害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”解除流程指引</w:t>
      </w:r>
    </w:p>
    <w:p w14:paraId="74C93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解除高频风控实务（本职工作界定、重大损害界定）</w:t>
      </w:r>
    </w:p>
    <w:p w14:paraId="5774F2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四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过错性辞退风控操作指引（兼职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合同无效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被追究刑事责任）</w:t>
      </w:r>
    </w:p>
    <w:p w14:paraId="24F01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兼职”“合同无效”“被追究刑事责任”法定概念分析</w:t>
      </w:r>
    </w:p>
    <w:p w14:paraId="715C8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三类”解除流程指引</w:t>
      </w:r>
    </w:p>
    <w:p w14:paraId="31DEB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非过错性辞退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】</w:t>
      </w:r>
    </w:p>
    <w:p w14:paraId="53F18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五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非过错性辞退风控操作指引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医疗期满解除）</w:t>
      </w:r>
    </w:p>
    <w:p w14:paraId="31245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医疗期满”“不能从事工作”法定概念分析</w:t>
      </w:r>
    </w:p>
    <w:p w14:paraId="23C31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患病或非因工负伤，医疗期满后不能从事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新旧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工作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”解除流程指引</w:t>
      </w:r>
    </w:p>
    <w:p w14:paraId="2C92C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解除高频风控实务（虚假病假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泡病号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特殊疾病医疗期计算）</w:t>
      </w:r>
    </w:p>
    <w:p w14:paraId="30D1E0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六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非过错性辞退风控操作指引（不胜任工作解除）</w:t>
      </w:r>
    </w:p>
    <w:p w14:paraId="18FAA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不胜任”“培训”“调岗”法定概念分析</w:t>
      </w:r>
    </w:p>
    <w:p w14:paraId="74D14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不胜任工作”解除流程指引</w:t>
      </w:r>
    </w:p>
    <w:p w14:paraId="0317A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解除高频风控实务（岗位职责设计、岗位拒签、绩效改进替代培训、调岗违法）</w:t>
      </w:r>
    </w:p>
    <w:p w14:paraId="200F6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七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非过错性辞退风控操作指引（情势变更解除）</w:t>
      </w:r>
    </w:p>
    <w:p w14:paraId="477CD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客观情况发生重大变化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”“合同无法履行”法定概念分析</w:t>
      </w:r>
    </w:p>
    <w:p w14:paraId="28A09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情势变更”解除流程指引</w:t>
      </w:r>
    </w:p>
    <w:p w14:paraId="74FF9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4解除高频风控实务（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如何认定客观情况发生变化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、变化是否包含员工之情况）</w:t>
      </w:r>
    </w:p>
    <w:p w14:paraId="617FF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第二章 员工辞职10类情形</w:t>
      </w:r>
    </w:p>
    <w:p w14:paraId="7C859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【员工主动辞职】</w:t>
      </w:r>
    </w:p>
    <w:p w14:paraId="0625DB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一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主动辞职风控操作指引</w:t>
      </w:r>
    </w:p>
    <w:p w14:paraId="32913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CN"/>
        </w:rPr>
        <w:t>主动辞职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法定概念分析及要件</w:t>
      </w:r>
    </w:p>
    <w:p w14:paraId="71531DF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如何最大化规避员工未提前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30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天或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天辞职</w:t>
      </w:r>
    </w:p>
    <w:p w14:paraId="3F5942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主动辞职操作高频风控实务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口头辞职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不告而别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撤销辞职申请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 w14:paraId="6F0724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【员工被动辞职】</w:t>
      </w:r>
    </w:p>
    <w:p w14:paraId="1737B8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二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被动辞职风控操作指引（劳保条件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劳动报酬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社保）</w:t>
      </w:r>
    </w:p>
    <w:p w14:paraId="7F58B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被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CN"/>
        </w:rPr>
        <w:t>动辞职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法定概念分析及要件</w:t>
      </w:r>
    </w:p>
    <w:p w14:paraId="0D5DA0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裁判实践中如何认定企业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未提供约定劳保条件</w:t>
      </w:r>
    </w:p>
    <w:p w14:paraId="0C7A6B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裁判实践中如何认定企业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用人单位未及时足额支付劳动报酬</w:t>
      </w:r>
    </w:p>
    <w:p w14:paraId="4D25F3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裁判实践中如何认定企业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用人单位未依法缴纳社会保险</w:t>
      </w:r>
    </w:p>
    <w:p w14:paraId="3DF3D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三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被动辞职风控操作指引（制度违法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合同无效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强迫劳动）</w:t>
      </w:r>
    </w:p>
    <w:p w14:paraId="08EAC6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裁判实践中如何认定企业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用人单位规章制度违法且损害员工利益</w:t>
      </w:r>
    </w:p>
    <w:p w14:paraId="256882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裁判实践中如何认定企业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用人单位以欺诈、胁迫或乘人之危与员工签订或变更合同导致条款无效</w:t>
      </w:r>
    </w:p>
    <w:p w14:paraId="55B0D8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裁判实践中如何认定企业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</w:rPr>
        <w:t>用人单位违反法律强制性规定用工</w:t>
      </w:r>
    </w:p>
    <w:p w14:paraId="4CBF9E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第三章 合同终止1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类情形</w:t>
      </w:r>
    </w:p>
    <w:p w14:paraId="142FB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一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法定终止风控操作指引</w:t>
      </w:r>
    </w:p>
    <w:p w14:paraId="12C2C4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1合同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期满终止 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    </w:t>
      </w:r>
    </w:p>
    <w:p w14:paraId="5E9F94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员工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享受退休待遇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达到退休年龄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死亡或失踪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 w14:paraId="438DBB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企业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破产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执照被吊销、关闭、撤销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自行解散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 w14:paraId="794830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二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特殊终止风控操作指引</w:t>
      </w:r>
    </w:p>
    <w:p w14:paraId="1F0953D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highlight w:val="none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highlight w:val="none"/>
        </w:rPr>
        <w:t>1以完成一定工作任务为期限合同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highlight w:val="none"/>
          <w:lang w:val="en-US" w:eastAsia="zh-Hans"/>
        </w:rPr>
        <w:t>终止</w:t>
      </w:r>
    </w:p>
    <w:p w14:paraId="2776E7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非全日制劳动合同终止</w:t>
      </w:r>
    </w:p>
    <w:p w14:paraId="2084D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劳务派遣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经营期限届满不再继续经营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终止</w:t>
      </w:r>
    </w:p>
    <w:p w14:paraId="1E0BF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分支机构撤销后员工关系终止</w:t>
      </w:r>
    </w:p>
    <w:p w14:paraId="357122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第四章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非标准解除终止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>11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类情形</w:t>
      </w:r>
    </w:p>
    <w:p w14:paraId="2C6D21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事实劳动关系结束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】</w:t>
      </w:r>
    </w:p>
    <w:p w14:paraId="7141E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一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事实劳动关系结束风控操作指引</w:t>
      </w:r>
    </w:p>
    <w:p w14:paraId="30C3DF6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val="en-US" w:eastAsia="zh-Hans"/>
        </w:rPr>
        <w:t>首月劳动者不签合同企业终止关系</w:t>
      </w:r>
    </w:p>
    <w:p w14:paraId="0FE1EF6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val="en-US" w:eastAsia="zh-Hans"/>
        </w:rPr>
        <w:t>超过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val="en-US" w:eastAsia="zh-Hans"/>
        </w:rPr>
        <w:t>月不满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val="en-US" w:eastAsia="zh-Hans"/>
        </w:rPr>
        <w:t>年劳动者不签合同企业终止关系</w:t>
      </w:r>
    </w:p>
    <w:p w14:paraId="19686D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both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Hans" w:bidi="ar-SA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CN" w:bidi="ar-SA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合同期满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Hans" w:bidi="ar-SA"/>
        </w:rPr>
        <w:t>未续签继续用工终止劳动关系</w:t>
      </w:r>
    </w:p>
    <w:p w14:paraId="2573E69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both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Hans" w:bidi="ar-SA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Hans" w:bidi="ar-SA"/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Hans" w:bidi="ar-SA"/>
        </w:rPr>
        <w:t>签订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Hans" w:bidi="ar-SA"/>
        </w:rPr>
        <w:t>《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Hans" w:bidi="ar-SA"/>
        </w:rPr>
        <w:t>合作协议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Hans" w:bidi="ar-SA"/>
        </w:rPr>
        <w:t>》+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Hans" w:bidi="ar-SA"/>
        </w:rPr>
        <w:t>被认定事实劳动关系下的解除赔偿新变化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Hans" w:bidi="ar-SA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Hans" w:bidi="ar-SA"/>
        </w:rPr>
        <w:t>赔偿金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Hans" w:bidi="ar-SA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Hans" w:bidi="ar-SA"/>
        </w:rPr>
        <w:t>未签合同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Hans" w:bidi="ar-SA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val="en-US" w:eastAsia="zh-Hans" w:bidi="ar-SA"/>
        </w:rPr>
        <w:t>倍工资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2"/>
          <w:sz w:val="21"/>
          <w:szCs w:val="21"/>
          <w:highlight w:val="none"/>
          <w:lang w:eastAsia="zh-Hans" w:bidi="ar-SA"/>
        </w:rPr>
        <w:t>）</w:t>
      </w:r>
    </w:p>
    <w:p w14:paraId="3AFB3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协商解除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】</w:t>
      </w:r>
    </w:p>
    <w:p w14:paraId="574F93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二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协商解除风控操作指引</w:t>
      </w:r>
    </w:p>
    <w:p w14:paraId="48C5B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协商一致”法定概念分析</w:t>
      </w:r>
    </w:p>
    <w:p w14:paraId="72661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协商一致”解除流程指引</w:t>
      </w:r>
    </w:p>
    <w:p w14:paraId="686EF0D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协商解除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日约定技巧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解除日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离岗日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交接日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付款日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 w14:paraId="4BE21E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解除高频风控实务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补偿项目及标准约定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签订后反悔申请认定协议无效或撤销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、员工放弃诉权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效力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 w14:paraId="51177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第五章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特殊解除终止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>12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情形</w:t>
      </w:r>
    </w:p>
    <w:p w14:paraId="7D859A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限制解除终止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】</w:t>
      </w:r>
    </w:p>
    <w:p w14:paraId="35A491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一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限制解除终止风控操作指引</w:t>
      </w:r>
    </w:p>
    <w:p w14:paraId="5DD9D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限制解除或终止的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6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类情形（职业病未检、工伤丧劳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医疗期、女工三期、15+5员工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试用期）</w:t>
      </w:r>
    </w:p>
    <w:p w14:paraId="6A68C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限制终止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类情形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培训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服务期未到期、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疫情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工会主席等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职工协商代表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 w14:paraId="7D5C5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违法解除终止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】</w:t>
      </w:r>
    </w:p>
    <w:p w14:paraId="66F23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二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违法解除终止风控操作指引</w:t>
      </w:r>
    </w:p>
    <w:p w14:paraId="0CBFA13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所有合同终止解除情形需满足的通用法定程序及要求</w:t>
      </w:r>
    </w:p>
    <w:p w14:paraId="6597137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违法解除终止后果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（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支付赔偿金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支付诉讼期工资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恢复劳动关系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）</w:t>
      </w:r>
    </w:p>
    <w:p w14:paraId="4532453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仲裁法院判决恢复劳动关系的裁审标准</w:t>
      </w:r>
    </w:p>
    <w:p w14:paraId="3D617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>特殊群体解除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eastAsia="zh-Hans"/>
          <w14:textFill>
            <w14:solidFill>
              <w14:schemeClr w14:val="accent1"/>
            </w14:solidFill>
          </w14:textFill>
        </w:rPr>
        <w:t>】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4472C4" w:themeColor="accent1"/>
          <w:sz w:val="21"/>
          <w:szCs w:val="21"/>
          <w:lang w:val="en-US" w:eastAsia="zh-Hans"/>
          <w14:textFill>
            <w14:solidFill>
              <w14:schemeClr w14:val="accent1"/>
            </w14:solidFill>
          </w14:textFill>
        </w:rPr>
        <w:t xml:space="preserve"> </w:t>
      </w:r>
    </w:p>
    <w:p w14:paraId="6FBA5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三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 xml:space="preserve"> 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特殊群体解除风控操作指引</w:t>
      </w:r>
    </w:p>
    <w:p w14:paraId="2C0EA0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eastAsia="zh-Hans"/>
        </w:rPr>
        <w:t>1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val="en-US" w:eastAsia="zh-Hans"/>
        </w:rPr>
        <w:t>董事会聘任高级管理人员的岗位终止及合同解除</w:t>
      </w:r>
    </w:p>
    <w:p w14:paraId="048048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kern w:val="0"/>
          <w:sz w:val="21"/>
          <w:szCs w:val="21"/>
          <w:lang w:val="en-US" w:eastAsia="zh-Hans"/>
        </w:rPr>
        <w:t>非董事会聘任中高级管理人员的岗位终止及合同解除</w:t>
      </w:r>
    </w:p>
    <w:p w14:paraId="6E43B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第六章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解除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终止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辞职“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eastAsia="zh-Hans"/>
        </w:rPr>
        <w:t>8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Hans"/>
        </w:rPr>
        <w:t>金”离职成本核算</w:t>
      </w:r>
    </w:p>
    <w:p w14:paraId="185161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一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支付解除成本的情形及科目</w:t>
      </w:r>
    </w:p>
    <w:p w14:paraId="3F9F03B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1 44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类离职成本汇总表对照</w:t>
      </w:r>
    </w:p>
    <w:p w14:paraId="17697FE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2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离职最常见“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8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金”</w:t>
      </w:r>
    </w:p>
    <w:p w14:paraId="06C1465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3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通过关联公司轮流签订合同等方式清零工龄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eastAsia="zh-Hans"/>
        </w:rPr>
        <w:t>，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auto"/>
          <w:sz w:val="21"/>
          <w:szCs w:val="21"/>
          <w:lang w:val="en-US" w:eastAsia="zh-Hans"/>
        </w:rPr>
        <w:t>达到降低赔偿年限的裁判口径分析</w:t>
      </w:r>
    </w:p>
    <w:p w14:paraId="24A22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二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赔偿补偿计发实务（经济补偿金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赔偿金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代通知金、医疗补助费、一次性伤残就业补助金）</w:t>
      </w:r>
    </w:p>
    <w:p w14:paraId="137A8B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三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eastAsia="zh-Hans"/>
        </w:rPr>
        <w:t>、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Hans"/>
        </w:rPr>
        <w:t>赔偿补偿计发实务（服务期违约金、竞业限制违约金、员工履职赔偿金）</w:t>
      </w:r>
    </w:p>
    <w:p w14:paraId="144B3E63">
      <w:pPr>
        <w:pStyle w:val="4"/>
        <w:ind w:left="422" w:leftChars="0" w:hanging="422" w:hangingChars="200"/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  <w:t>【讲师介绍】</w:t>
      </w: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</w:rPr>
        <w:br w:type="textWrapping"/>
      </w: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  <w:lang w:val="en-US" w:eastAsia="zh-CN"/>
        </w:rPr>
        <w:t>一杉</w:t>
      </w:r>
      <w:r>
        <w:rPr>
          <w:rFonts w:hint="eastAsia" w:ascii="Microsoft YaHei Regular" w:hAnsi="Microsoft YaHei Regular" w:eastAsia="Microsoft YaHei Regular" w:cs="Microsoft YaHei Regular"/>
          <w:b/>
          <w:color w:val="C3230D"/>
          <w:sz w:val="21"/>
          <w:szCs w:val="21"/>
          <w:lang w:val="en-US" w:eastAsia="zh-Hans"/>
        </w:rPr>
        <w:t>老师</w:t>
      </w:r>
    </w:p>
    <w:p w14:paraId="27007FD1"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bookmarkStart w:id="1" w:name="_GoBack"/>
      <w:bookmarkEnd w:id="1"/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Hans"/>
        </w:rPr>
        <w:t>智联特聘劳动法讲师、咨询师</w:t>
      </w:r>
    </w:p>
    <w:p w14:paraId="1DB9016D"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“HR法研社”创始人</w:t>
      </w:r>
    </w:p>
    <w:p w14:paraId="57E2FDFE"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晋泰律师事务所特聘灵工法务项目发起人</w:t>
      </w:r>
    </w:p>
    <w:p w14:paraId="2D637C3C"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先之教育劳动法特聘专家</w:t>
      </w:r>
    </w:p>
    <w:p w14:paraId="6EC2D250"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Hans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Hans"/>
        </w:rPr>
        <w:t>天眼查特聘劳动法讲师</w:t>
      </w:r>
    </w:p>
    <w:p w14:paraId="363C9CE4"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人才培养与发展专家，资深人力资源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Hans"/>
        </w:rPr>
        <w:t>法务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管理者</w:t>
      </w:r>
    </w:p>
    <w:p w14:paraId="40CABEA0"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8年人力资源管理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Hans"/>
        </w:rPr>
        <w:t>法务风控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落地指导经验</w:t>
      </w:r>
    </w:p>
    <w:p w14:paraId="0F48C9D9"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8年专业劳动法律师事务所管理经验</w:t>
      </w:r>
    </w:p>
    <w:p w14:paraId="2DFB4BE1"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color w:val="C00000"/>
          <w:sz w:val="15"/>
          <w:szCs w:val="15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HR法研社“人财法税”12+灵工模式项目设计导师</w:t>
      </w:r>
    </w:p>
    <w:p w14:paraId="30D8579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Microsoft YaHei Regular" w:hAnsi="Microsoft YaHei Regular" w:eastAsia="Microsoft YaHei Regular" w:cs="Microsoft YaHei Regular"/>
          <w:b w:val="0"/>
          <w:bCs w:val="0"/>
          <w:i w:val="0"/>
          <w:iCs w:val="0"/>
          <w:sz w:val="21"/>
          <w:szCs w:val="21"/>
          <w:lang w:eastAsia="zh-Hans"/>
        </w:rPr>
      </w:pPr>
    </w:p>
    <w:sectPr>
      <w:headerReference r:id="rId5" w:type="default"/>
      <w:footerReference r:id="rId6" w:type="default"/>
      <w:pgSz w:w="11900" w:h="16840"/>
      <w:pgMar w:top="1440" w:right="1080" w:bottom="1440" w:left="1080" w:header="758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98658">
    <w:pPr>
      <w:pStyle w:val="5"/>
    </w:pP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BF39C">
    <w:pPr>
      <w:pStyle w:val="6"/>
      <w:ind w:right="78" w:rightChars="37"/>
      <w:jc w:val="left"/>
    </w:pPr>
    <w:r>
      <w:rPr>
        <w:rFonts w:hint="eastAsia"/>
      </w:rPr>
      <w:t xml:space="preserve"> </w:t>
    </w: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ABF9A"/>
    <w:multiLevelType w:val="singleLevel"/>
    <w:tmpl w:val="BFEABF9A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2Y2Y4M2U5MzY1OThkYjI4NGNkNzdlYmM1NmMyNmYifQ=="/>
  </w:docVars>
  <w:rsids>
    <w:rsidRoot w:val="009D0CF5"/>
    <w:rsid w:val="00000EE5"/>
    <w:rsid w:val="00010D2B"/>
    <w:rsid w:val="000936A0"/>
    <w:rsid w:val="000A3BBB"/>
    <w:rsid w:val="000D4DF5"/>
    <w:rsid w:val="0017530F"/>
    <w:rsid w:val="00183B62"/>
    <w:rsid w:val="001A3097"/>
    <w:rsid w:val="00297F41"/>
    <w:rsid w:val="0030157E"/>
    <w:rsid w:val="003135CE"/>
    <w:rsid w:val="00407CAF"/>
    <w:rsid w:val="00416221"/>
    <w:rsid w:val="00430D8A"/>
    <w:rsid w:val="00522443"/>
    <w:rsid w:val="00595B6F"/>
    <w:rsid w:val="005A23BF"/>
    <w:rsid w:val="00634BE3"/>
    <w:rsid w:val="00657FD1"/>
    <w:rsid w:val="006B1367"/>
    <w:rsid w:val="006D36E1"/>
    <w:rsid w:val="006D7B5A"/>
    <w:rsid w:val="006E0553"/>
    <w:rsid w:val="00716671"/>
    <w:rsid w:val="007501C8"/>
    <w:rsid w:val="007C1EF0"/>
    <w:rsid w:val="007C7000"/>
    <w:rsid w:val="008D61F7"/>
    <w:rsid w:val="008E162F"/>
    <w:rsid w:val="008F047F"/>
    <w:rsid w:val="00937DEE"/>
    <w:rsid w:val="009D04FF"/>
    <w:rsid w:val="009D0CF5"/>
    <w:rsid w:val="009F3A3D"/>
    <w:rsid w:val="00A74755"/>
    <w:rsid w:val="00BB7B9F"/>
    <w:rsid w:val="00BF7A30"/>
    <w:rsid w:val="00C707BC"/>
    <w:rsid w:val="00C730AC"/>
    <w:rsid w:val="00D56FEE"/>
    <w:rsid w:val="00D96CEB"/>
    <w:rsid w:val="00DF2D8E"/>
    <w:rsid w:val="00DF555D"/>
    <w:rsid w:val="00E45089"/>
    <w:rsid w:val="00E45F2C"/>
    <w:rsid w:val="00E64501"/>
    <w:rsid w:val="00ED7DAF"/>
    <w:rsid w:val="00F35E02"/>
    <w:rsid w:val="00FC5152"/>
    <w:rsid w:val="02AD739F"/>
    <w:rsid w:val="17086F76"/>
    <w:rsid w:val="186B1138"/>
    <w:rsid w:val="27FFA0F4"/>
    <w:rsid w:val="2B8B12B1"/>
    <w:rsid w:val="2EAB4F9F"/>
    <w:rsid w:val="36FFC43F"/>
    <w:rsid w:val="39B917E2"/>
    <w:rsid w:val="3BFF6553"/>
    <w:rsid w:val="3FDB1F3E"/>
    <w:rsid w:val="57A16050"/>
    <w:rsid w:val="5E679304"/>
    <w:rsid w:val="5F7E4AB3"/>
    <w:rsid w:val="5FB71E97"/>
    <w:rsid w:val="5FFFD9EF"/>
    <w:rsid w:val="759323FF"/>
    <w:rsid w:val="75DD2B1B"/>
    <w:rsid w:val="773C44A6"/>
    <w:rsid w:val="77DD67F2"/>
    <w:rsid w:val="77FC6EFA"/>
    <w:rsid w:val="7BDF611B"/>
    <w:rsid w:val="7C4EE014"/>
    <w:rsid w:val="7EAF48EE"/>
    <w:rsid w:val="7EEED53E"/>
    <w:rsid w:val="7FF3B6D7"/>
    <w:rsid w:val="7FFE0B0C"/>
    <w:rsid w:val="AFFEEFE1"/>
    <w:rsid w:val="D6DFA937"/>
    <w:rsid w:val="D7B3BDC9"/>
    <w:rsid w:val="DEBFAD07"/>
    <w:rsid w:val="DEFF2DD0"/>
    <w:rsid w:val="DFFBE7B7"/>
    <w:rsid w:val="EAFCC5C7"/>
    <w:rsid w:val="EBFF5086"/>
    <w:rsid w:val="F3DFC8A4"/>
    <w:rsid w:val="F9F35B1C"/>
    <w:rsid w:val="FBBF85B0"/>
    <w:rsid w:val="FF753377"/>
    <w:rsid w:val="FFE62138"/>
    <w:rsid w:val="FFFFD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widowControl w:val="0"/>
      <w:overflowPunct w:val="0"/>
      <w:autoSpaceDE w:val="0"/>
      <w:autoSpaceDN w:val="0"/>
      <w:adjustRightInd w:val="0"/>
      <w:spacing w:after="120" w:line="312" w:lineRule="auto"/>
    </w:pPr>
    <w:rPr>
      <w:rFonts w:ascii="Georgia" w:hAnsi="Georgia" w:eastAsia="宋体" w:cs="Times New Roman"/>
      <w:color w:val="000000"/>
      <w:kern w:val="28"/>
    </w:rPr>
  </w:style>
  <w:style w:type="paragraph" w:styleId="4">
    <w:name w:val="Block Text"/>
    <w:basedOn w:val="1"/>
    <w:qFormat/>
    <w:uiPriority w:val="99"/>
    <w:pPr>
      <w:tabs>
        <w:tab w:val="left" w:pos="9000"/>
      </w:tabs>
      <w:spacing w:after="120"/>
      <w:ind w:left="1440" w:leftChars="700" w:right="1440" w:rightChars="700"/>
    </w:p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99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5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列出段落1"/>
    <w:basedOn w:val="1"/>
    <w:autoRedefine/>
    <w:qFormat/>
    <w:uiPriority w:val="0"/>
    <w:pPr>
      <w:ind w:firstLine="420" w:firstLineChars="200"/>
    </w:pPr>
    <w:rPr>
      <w:rFonts w:hint="eastAsia" w:ascii="等线" w:hAnsi="等线" w:eastAsia="等线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2564</Words>
  <Characters>2597</Characters>
  <Lines>9</Lines>
  <Paragraphs>2</Paragraphs>
  <TotalTime>0</TotalTime>
  <ScaleCrop>false</ScaleCrop>
  <LinksUpToDate>false</LinksUpToDate>
  <CharactersWithSpaces>2621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2021-03-26T17:49:00Z</dcterms:created>
  <dc:creator>Microsoft Office User</dc:creator>
  <cp:lastModifiedBy>Yan</cp:lastModifiedBy>
  <cp:lastPrinted>2020-11-30T23:19:00Z</cp:lastPrinted>
  <dcterms:modified xsi:type="dcterms:W3CDTF">2025-06-11T06:53:31Z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1E8FBCA1AE5E48F095CA9F9F332B80FD_13</vt:lpwstr>
  </property>
  <property fmtid="{D5CDD505-2E9C-101B-9397-08002B2CF9AE}" pid="4" name="KSOTemplateDocerSaveRecord">
    <vt:lpwstr>eyJoZGlkIjoiYjgwMTUwZjk3YjY4NWY1ZGM3ZWRiNjcyZTMwMmI2NzgiLCJ1c2VySWQiOiIxMDgxNjIyNjk3In0=</vt:lpwstr>
  </property>
</Properties>
</file>