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0D0D2">
      <w:pPr>
        <w:rPr>
          <w:rFonts w:ascii="微软雅黑" w:hAnsi="微软雅黑" w:eastAsia="微软雅黑"/>
          <w:b/>
          <w:sz w:val="44"/>
          <w:szCs w:val="44"/>
        </w:rPr>
      </w:pPr>
    </w:p>
    <w:p w14:paraId="0B0D5277">
      <w:pPr>
        <w:pStyle w:val="18"/>
        <w:ind w:left="425" w:firstLine="0" w:firstLineChars="0"/>
        <w:jc w:val="center"/>
        <w:rPr>
          <w:rFonts w:ascii="微软雅黑" w:hAnsi="微软雅黑" w:eastAsia="微软雅黑"/>
          <w:b/>
          <w:bCs/>
          <w:color w:val="FF5B09"/>
          <w:sz w:val="48"/>
          <w:szCs w:val="48"/>
        </w:rPr>
      </w:pPr>
      <w:r>
        <w:rPr>
          <w:rFonts w:hint="eastAsia" w:ascii="微软雅黑" w:hAnsi="微软雅黑" w:eastAsia="微软雅黑"/>
          <w:b/>
          <w:bCs/>
          <w:color w:val="FF5B09"/>
          <w:sz w:val="48"/>
          <w:szCs w:val="48"/>
        </w:rPr>
        <w:t>人力资本效能分析与提升</w:t>
      </w:r>
      <w:r>
        <w:rPr>
          <w:rFonts w:hint="eastAsia" w:ascii="微软雅黑" w:hAnsi="微软雅黑" w:eastAsia="微软雅黑"/>
          <w:b/>
          <w:bCs/>
          <w:color w:val="FF5B09"/>
          <w:sz w:val="48"/>
          <w:szCs w:val="48"/>
          <w:lang w:val="en-US" w:eastAsia="zh-CN"/>
        </w:rPr>
        <w:t>实战</w:t>
      </w:r>
      <w:r>
        <w:rPr>
          <w:rFonts w:hint="eastAsia" w:ascii="微软雅黑" w:hAnsi="微软雅黑" w:eastAsia="微软雅黑"/>
          <w:b/>
          <w:bCs/>
          <w:color w:val="FF5B09"/>
          <w:sz w:val="48"/>
          <w:szCs w:val="48"/>
        </w:rPr>
        <w:t>班</w:t>
      </w:r>
    </w:p>
    <w:p w14:paraId="066C6313">
      <w:pPr>
        <w:pStyle w:val="18"/>
        <w:ind w:left="425" w:firstLine="0" w:firstLineChars="0"/>
        <w:jc w:val="center"/>
        <w:rPr>
          <w:rFonts w:ascii="微软雅黑" w:hAnsi="微软雅黑" w:eastAsia="微软雅黑"/>
          <w:b/>
          <w:bCs/>
          <w:color w:val="FF5B09"/>
          <w:sz w:val="40"/>
          <w:szCs w:val="40"/>
        </w:rPr>
      </w:pPr>
      <w:r>
        <w:rPr>
          <w:rFonts w:hint="eastAsia" w:ascii="微软雅黑" w:hAnsi="微软雅黑" w:eastAsia="微软雅黑"/>
          <w:b/>
          <w:bCs/>
          <w:color w:val="FF5B09"/>
          <w:sz w:val="40"/>
          <w:szCs w:val="40"/>
        </w:rPr>
        <w:t>打造价值链共赢</w:t>
      </w:r>
    </w:p>
    <w:p w14:paraId="230FCC17">
      <w:pPr>
        <w:tabs>
          <w:tab w:val="right" w:pos="8306"/>
        </w:tabs>
        <w:spacing w:line="360" w:lineRule="auto"/>
        <w:rPr>
          <w:rFonts w:hint="eastAsia" w:ascii="微软雅黑" w:hAnsi="微软雅黑" w:eastAsia="微软雅黑"/>
          <w:b/>
          <w:color w:val="FF5B09"/>
          <w:sz w:val="30"/>
          <w:szCs w:val="30"/>
        </w:rPr>
      </w:pPr>
    </w:p>
    <w:p w14:paraId="4C908D73">
      <w:pPr>
        <w:spacing w:line="360" w:lineRule="auto"/>
        <w:rPr>
          <w:rFonts w:ascii="微软雅黑" w:hAnsi="微软雅黑" w:eastAsia="微软雅黑"/>
        </w:rPr>
      </w:pPr>
      <w:r>
        <w:rPr>
          <w:rFonts w:hint="eastAsia" w:ascii="微软雅黑" w:hAnsi="微软雅黑" w:eastAsia="微软雅黑"/>
          <w:b/>
          <w:color w:val="FF5B09"/>
          <w:sz w:val="30"/>
          <w:szCs w:val="30"/>
          <w:lang w:val="en-US" w:eastAsia="zh-CN"/>
        </w:rPr>
        <w:t>2025年排期</w:t>
      </w:r>
      <w:r>
        <w:rPr>
          <w:rFonts w:ascii="微软雅黑" w:hAnsi="微软雅黑" w:eastAsia="微软雅黑"/>
          <w:b/>
          <w:color w:val="FF5B09"/>
          <w:sz w:val="30"/>
          <w:szCs w:val="30"/>
        </w:rPr>
        <w:t>：</w:t>
      </w:r>
      <w:r>
        <w:rPr>
          <w:rFonts w:hint="eastAsia" w:ascii="微软雅黑" w:hAnsi="微软雅黑" w:eastAsia="微软雅黑"/>
          <w:b/>
          <w:bCs/>
          <w:lang w:val="en-US" w:eastAsia="zh-CN"/>
        </w:rPr>
        <w:t>5月23-24日深圳；10月24-25日上海</w:t>
      </w:r>
      <w:r>
        <w:rPr>
          <w:rFonts w:hint="eastAsia" w:ascii="微软雅黑" w:hAnsi="微软雅黑" w:eastAsia="微软雅黑"/>
          <w:lang w:val="en-US" w:eastAsia="zh-CN"/>
        </w:rPr>
        <w:t xml:space="preserve">  ；</w:t>
      </w:r>
      <w:r>
        <w:rPr>
          <w:rFonts w:hint="eastAsia" w:ascii="微软雅黑" w:hAnsi="微软雅黑" w:eastAsia="微软雅黑"/>
        </w:rPr>
        <w:t>2天，6小时/天，</w:t>
      </w:r>
    </w:p>
    <w:p w14:paraId="5F666E3F">
      <w:pPr>
        <w:spacing w:line="360" w:lineRule="auto"/>
        <w:rPr>
          <w:rFonts w:ascii="微软雅黑" w:hAnsi="微软雅黑" w:eastAsia="微软雅黑"/>
          <w:b/>
          <w:bCs/>
          <w:sz w:val="24"/>
          <w:szCs w:val="32"/>
        </w:rPr>
      </w:pPr>
      <w:r>
        <w:rPr>
          <w:rFonts w:ascii="微软雅黑" w:hAnsi="微软雅黑" w:eastAsia="微软雅黑"/>
          <w:b/>
          <w:color w:val="FF5B09"/>
          <w:sz w:val="30"/>
          <w:szCs w:val="30"/>
        </w:rPr>
        <w:t>报名学习</w:t>
      </w:r>
      <w:r>
        <w:rPr>
          <w:rFonts w:hint="eastAsia" w:ascii="微软雅黑" w:hAnsi="微软雅黑" w:eastAsia="微软雅黑"/>
          <w:b/>
          <w:color w:val="FF5B09"/>
          <w:sz w:val="30"/>
          <w:szCs w:val="30"/>
        </w:rPr>
        <w:t>：</w:t>
      </w:r>
      <w:r>
        <w:rPr>
          <w:rFonts w:ascii="微软雅黑" w:hAnsi="微软雅黑" w:eastAsia="微软雅黑"/>
        </w:rPr>
        <w:t>课程市场指导价</w:t>
      </w:r>
      <w:r>
        <w:rPr>
          <w:rFonts w:hint="eastAsia" w:ascii="微软雅黑" w:hAnsi="微软雅黑" w:eastAsia="微软雅黑"/>
          <w:lang w:val="en-US" w:eastAsia="zh-CN"/>
        </w:rPr>
        <w:t>8</w:t>
      </w:r>
      <w:r>
        <w:rPr>
          <w:rFonts w:hint="eastAsia" w:ascii="微软雅黑" w:hAnsi="微软雅黑" w:eastAsia="微软雅黑"/>
        </w:rPr>
        <w:t>80</w:t>
      </w:r>
      <w:r>
        <w:rPr>
          <w:rFonts w:ascii="微软雅黑" w:hAnsi="微软雅黑" w:eastAsia="微软雅黑"/>
        </w:rPr>
        <w:t>0元</w:t>
      </w:r>
      <w:r>
        <w:rPr>
          <w:rFonts w:hint="eastAsia" w:ascii="微软雅黑" w:hAnsi="微软雅黑" w:eastAsia="微软雅黑"/>
        </w:rPr>
        <w:t>/</w:t>
      </w:r>
      <w:r>
        <w:rPr>
          <w:rFonts w:ascii="微软雅黑" w:hAnsi="微软雅黑" w:eastAsia="微软雅黑"/>
        </w:rPr>
        <w:t>人</w:t>
      </w:r>
      <w:r>
        <w:rPr>
          <w:rFonts w:hint="eastAsia" w:ascii="微软雅黑" w:hAnsi="微软雅黑" w:eastAsia="微软雅黑"/>
        </w:rPr>
        <w:t>，</w:t>
      </w:r>
      <w:r>
        <w:rPr>
          <w:rFonts w:ascii="微软雅黑" w:hAnsi="微软雅黑" w:eastAsia="微软雅黑"/>
          <w:b/>
          <w:bCs/>
          <w:sz w:val="24"/>
          <w:szCs w:val="32"/>
        </w:rPr>
        <w:t>现在报名优惠价</w:t>
      </w:r>
      <w:r>
        <w:rPr>
          <w:rFonts w:hint="eastAsia" w:ascii="微软雅黑" w:hAnsi="微软雅黑" w:eastAsia="微软雅黑"/>
          <w:b/>
          <w:bCs/>
          <w:sz w:val="24"/>
          <w:szCs w:val="32"/>
          <w:lang w:val="en-US" w:eastAsia="zh-CN"/>
        </w:rPr>
        <w:t>6800</w:t>
      </w:r>
      <w:r>
        <w:rPr>
          <w:rFonts w:ascii="微软雅黑" w:hAnsi="微软雅黑" w:eastAsia="微软雅黑"/>
          <w:b/>
          <w:bCs/>
          <w:sz w:val="24"/>
          <w:szCs w:val="32"/>
        </w:rPr>
        <w:t>元</w:t>
      </w:r>
      <w:r>
        <w:rPr>
          <w:rFonts w:hint="eastAsia" w:ascii="微软雅黑" w:hAnsi="微软雅黑" w:eastAsia="微软雅黑"/>
          <w:b/>
          <w:bCs/>
          <w:sz w:val="24"/>
          <w:szCs w:val="32"/>
        </w:rPr>
        <w:t>/</w:t>
      </w:r>
      <w:r>
        <w:rPr>
          <w:rFonts w:ascii="微软雅黑" w:hAnsi="微软雅黑" w:eastAsia="微软雅黑"/>
          <w:b/>
          <w:bCs/>
          <w:sz w:val="24"/>
          <w:szCs w:val="32"/>
        </w:rPr>
        <w:t>人</w:t>
      </w:r>
    </w:p>
    <w:p w14:paraId="36E951F8">
      <w:pPr>
        <w:spacing w:line="360" w:lineRule="auto"/>
        <w:rPr>
          <w:rFonts w:hint="eastAsia" w:ascii="微软雅黑" w:hAnsi="微软雅黑" w:eastAsia="微软雅黑"/>
          <w:b/>
          <w:color w:val="FF5B09"/>
          <w:sz w:val="30"/>
          <w:szCs w:val="30"/>
        </w:rPr>
      </w:pPr>
      <w:r>
        <w:rPr>
          <w:rFonts w:ascii="微软雅黑" w:hAnsi="微软雅黑" w:eastAsia="微软雅黑"/>
        </w:rPr>
        <w:t>包含</w:t>
      </w:r>
      <w:r>
        <w:rPr>
          <w:rFonts w:hint="eastAsia" w:ascii="微软雅黑" w:hAnsi="微软雅黑" w:eastAsia="微软雅黑"/>
        </w:rPr>
        <w:t>：场地费，授课费，手册印刷费，税费，</w:t>
      </w:r>
      <w:r>
        <w:rPr>
          <w:rFonts w:ascii="微软雅黑" w:hAnsi="微软雅黑" w:eastAsia="微软雅黑"/>
        </w:rPr>
        <w:t>午餐费</w:t>
      </w:r>
      <w:r>
        <w:rPr>
          <w:rFonts w:hint="eastAsia" w:ascii="微软雅黑" w:hAnsi="微软雅黑" w:eastAsia="微软雅黑"/>
        </w:rPr>
        <w:t>，下午茶歇等费用；差旅费自理！</w:t>
      </w:r>
    </w:p>
    <w:p w14:paraId="47B924F7">
      <w:pPr>
        <w:tabs>
          <w:tab w:val="right" w:pos="8306"/>
        </w:tabs>
        <w:spacing w:line="360" w:lineRule="auto"/>
        <w:rPr>
          <w:rFonts w:ascii="微软雅黑" w:hAnsi="微软雅黑" w:eastAsia="微软雅黑"/>
          <w:b/>
          <w:color w:val="FF5B09"/>
          <w:sz w:val="30"/>
          <w:szCs w:val="30"/>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w:t>
      </w:r>
      <w:r>
        <w:rPr>
          <w:rFonts w:hint="eastAsia" w:ascii="微软雅黑" w:hAnsi="微软雅黑" w:eastAsia="微软雅黑"/>
          <w:b/>
          <w:color w:val="FF5B09"/>
          <w:sz w:val="30"/>
          <w:szCs w:val="30"/>
        </w:rPr>
        <w:t>收获</w:t>
      </w:r>
      <w:r>
        <w:rPr>
          <w:rFonts w:ascii="微软雅黑" w:hAnsi="微软雅黑" w:eastAsia="微软雅黑"/>
          <w:b/>
          <w:color w:val="FF5B09"/>
          <w:sz w:val="30"/>
          <w:szCs w:val="30"/>
        </w:rPr>
        <w:tab/>
      </w:r>
    </w:p>
    <w:p w14:paraId="5CAD650F">
      <w:pPr>
        <w:tabs>
          <w:tab w:val="right" w:pos="8306"/>
        </w:tabs>
        <w:spacing w:line="360" w:lineRule="auto"/>
        <w:rPr>
          <w:rFonts w:ascii="微软雅黑" w:hAnsi="微软雅黑" w:eastAsia="微软雅黑" w:cs="宋体"/>
          <w:b/>
          <w:bCs/>
          <w:color w:val="auto"/>
          <w:sz w:val="21"/>
          <w:szCs w:val="21"/>
        </w:rPr>
      </w:pPr>
      <w:r>
        <w:rPr>
          <w:rFonts w:hint="eastAsia" w:ascii="微软雅黑" w:hAnsi="微软雅黑" w:eastAsia="微软雅黑" w:cs="宋体"/>
          <w:b/>
          <w:bCs/>
          <w:color w:val="auto"/>
          <w:sz w:val="21"/>
          <w:szCs w:val="21"/>
        </w:rPr>
        <w:t>超过</w:t>
      </w:r>
      <w:r>
        <w:rPr>
          <w:rFonts w:hint="eastAsia" w:ascii="微软雅黑" w:hAnsi="微软雅黑" w:eastAsia="微软雅黑" w:cs="宋体"/>
          <w:b/>
          <w:bCs/>
          <w:color w:val="auto"/>
          <w:sz w:val="21"/>
          <w:szCs w:val="21"/>
          <w:lang w:val="en-US" w:eastAsia="zh-CN"/>
        </w:rPr>
        <w:t>4</w:t>
      </w:r>
      <w:r>
        <w:rPr>
          <w:rFonts w:ascii="微软雅黑" w:hAnsi="微软雅黑" w:eastAsia="微软雅黑" w:cs="宋体"/>
          <w:b/>
          <w:bCs/>
          <w:color w:val="auto"/>
          <w:sz w:val="21"/>
          <w:szCs w:val="21"/>
        </w:rPr>
        <w:t>0</w:t>
      </w:r>
      <w:r>
        <w:rPr>
          <w:rFonts w:hint="eastAsia" w:ascii="微软雅黑" w:hAnsi="微软雅黑" w:eastAsia="微软雅黑" w:cs="宋体"/>
          <w:b/>
          <w:bCs/>
          <w:color w:val="auto"/>
          <w:sz w:val="21"/>
          <w:szCs w:val="21"/>
        </w:rPr>
        <w:t>家企业咨询实践、近百场培训、数千学员参与打造，人效课程全面升级，将助力你：</w:t>
      </w:r>
    </w:p>
    <w:p w14:paraId="49D9C97B">
      <w:pPr>
        <w:tabs>
          <w:tab w:val="right" w:pos="8306"/>
        </w:tabs>
        <w:spacing w:line="360" w:lineRule="auto"/>
        <w:rPr>
          <w:rFonts w:hint="eastAsia" w:ascii="微软雅黑" w:hAnsi="微软雅黑" w:eastAsia="微软雅黑"/>
          <w:sz w:val="21"/>
          <w:szCs w:val="21"/>
        </w:rPr>
      </w:pPr>
      <w:r>
        <w:rPr>
          <w:rFonts w:hint="eastAsia" w:ascii="微软雅黑" w:hAnsi="微软雅黑" w:eastAsia="微软雅黑"/>
          <w:b/>
          <w:bCs/>
          <w:sz w:val="21"/>
          <w:szCs w:val="21"/>
        </w:rPr>
        <w:t>1、思维框架：</w:t>
      </w:r>
      <w:r>
        <w:rPr>
          <w:rFonts w:hint="eastAsia" w:ascii="微软雅黑" w:hAnsi="微软雅黑" w:eastAsia="微软雅黑"/>
          <w:sz w:val="21"/>
          <w:szCs w:val="21"/>
        </w:rPr>
        <w:t>对人力资本效能提升这个企业日益关注的重点领域建立整体的思维框架；</w:t>
      </w:r>
    </w:p>
    <w:p w14:paraId="7548726A">
      <w:pPr>
        <w:tabs>
          <w:tab w:val="right" w:pos="8306"/>
        </w:tabs>
        <w:spacing w:line="360" w:lineRule="auto"/>
        <w:rPr>
          <w:rFonts w:hint="eastAsia" w:ascii="微软雅黑" w:hAnsi="微软雅黑" w:eastAsia="微软雅黑"/>
          <w:sz w:val="21"/>
          <w:szCs w:val="21"/>
        </w:rPr>
      </w:pPr>
      <w:r>
        <w:rPr>
          <w:rFonts w:hint="eastAsia" w:ascii="微软雅黑" w:hAnsi="微软雅黑" w:eastAsia="微软雅黑"/>
          <w:b/>
          <w:bCs/>
          <w:sz w:val="21"/>
          <w:szCs w:val="21"/>
        </w:rPr>
        <w:t>2、人效诊断：</w:t>
      </w:r>
      <w:r>
        <w:rPr>
          <w:rFonts w:hint="eastAsia" w:ascii="微软雅黑" w:hAnsi="微软雅黑" w:eastAsia="微软雅黑"/>
          <w:sz w:val="21"/>
          <w:szCs w:val="21"/>
        </w:rPr>
        <w:t>掌握人力资本效能诊断架构，了解常用及最佳实践的人效指标，学会系统思考和分析人效相关问题及挖掘人效提升机会点的方法；</w:t>
      </w:r>
    </w:p>
    <w:p w14:paraId="1961B7A5">
      <w:pPr>
        <w:tabs>
          <w:tab w:val="right" w:pos="8306"/>
        </w:tabs>
        <w:spacing w:line="360" w:lineRule="auto"/>
        <w:rPr>
          <w:rFonts w:hint="eastAsia" w:ascii="微软雅黑" w:hAnsi="微软雅黑" w:eastAsia="微软雅黑"/>
          <w:sz w:val="21"/>
          <w:szCs w:val="21"/>
        </w:rPr>
      </w:pPr>
      <w:r>
        <w:rPr>
          <w:rFonts w:hint="eastAsia" w:ascii="微软雅黑" w:hAnsi="微软雅黑" w:eastAsia="微软雅黑"/>
          <w:b/>
          <w:bCs/>
          <w:sz w:val="21"/>
          <w:szCs w:val="21"/>
        </w:rPr>
        <w:t>3、人效指标剖析：</w:t>
      </w:r>
      <w:r>
        <w:rPr>
          <w:rFonts w:hint="eastAsia" w:ascii="微软雅黑" w:hAnsi="微软雅黑" w:eastAsia="微软雅黑"/>
          <w:sz w:val="21"/>
          <w:szCs w:val="21"/>
        </w:rPr>
        <w:t>关键人效指标提取与案例分析、运用；</w:t>
      </w:r>
    </w:p>
    <w:p w14:paraId="14526DBC">
      <w:pPr>
        <w:tabs>
          <w:tab w:val="right" w:pos="8306"/>
        </w:tabs>
        <w:spacing w:line="360" w:lineRule="auto"/>
        <w:rPr>
          <w:rFonts w:hint="eastAsia" w:ascii="微软雅黑" w:hAnsi="微软雅黑" w:eastAsia="微软雅黑"/>
          <w:sz w:val="21"/>
          <w:szCs w:val="21"/>
          <w:lang w:eastAsia="zh-CN"/>
        </w:rPr>
      </w:pPr>
      <w:r>
        <w:rPr>
          <w:rFonts w:hint="eastAsia" w:ascii="微软雅黑" w:hAnsi="微软雅黑" w:eastAsia="微软雅黑"/>
          <w:b/>
          <w:bCs/>
          <w:sz w:val="21"/>
          <w:szCs w:val="21"/>
        </w:rPr>
        <w:t>4、人效提升方案：</w:t>
      </w:r>
      <w:r>
        <w:rPr>
          <w:rFonts w:hint="eastAsia" w:ascii="微软雅黑" w:hAnsi="微软雅黑" w:eastAsia="微软雅黑"/>
          <w:sz w:val="21"/>
          <w:szCs w:val="21"/>
        </w:rPr>
        <w:t>掌握全局的人效提升的方案设计，包括：组织、流程、职位以及差异化人才管理及奖酬激励设计等</w:t>
      </w:r>
      <w:r>
        <w:rPr>
          <w:rFonts w:hint="eastAsia" w:ascii="微软雅黑" w:hAnsi="微软雅黑" w:eastAsia="微软雅黑"/>
          <w:sz w:val="21"/>
          <w:szCs w:val="21"/>
          <w:lang w:eastAsia="zh-CN"/>
        </w:rPr>
        <w:t>；</w:t>
      </w:r>
    </w:p>
    <w:p w14:paraId="32242031">
      <w:pPr>
        <w:tabs>
          <w:tab w:val="right" w:pos="8306"/>
        </w:tabs>
        <w:spacing w:line="360" w:lineRule="auto"/>
        <w:rPr>
          <w:rFonts w:ascii="微软雅黑" w:hAnsi="微软雅黑" w:eastAsia="微软雅黑"/>
          <w:b/>
          <w:bCs/>
          <w:sz w:val="21"/>
          <w:szCs w:val="21"/>
        </w:rPr>
      </w:pPr>
      <w:r>
        <w:rPr>
          <w:rFonts w:hint="eastAsia" w:ascii="微软雅黑" w:hAnsi="微软雅黑" w:eastAsia="微软雅黑"/>
          <w:b/>
          <w:bCs/>
          <w:sz w:val="21"/>
          <w:szCs w:val="21"/>
        </w:rPr>
        <w:t>5、人效提升方案现场演练</w:t>
      </w:r>
    </w:p>
    <w:p w14:paraId="4E9E5780">
      <w:pPr>
        <w:spacing w:line="360" w:lineRule="auto"/>
        <w:rPr>
          <w:rFonts w:hint="eastAsia" w:ascii="微软雅黑" w:hAnsi="微软雅黑" w:eastAsia="微软雅黑"/>
          <w:b/>
          <w:color w:val="FF5B09"/>
          <w:sz w:val="30"/>
          <w:szCs w:val="30"/>
        </w:rPr>
      </w:pPr>
    </w:p>
    <w:p w14:paraId="664F396E">
      <w:pPr>
        <w:spacing w:line="360" w:lineRule="auto"/>
        <w:rPr>
          <w:rFonts w:hint="default" w:ascii="微软雅黑" w:hAnsi="微软雅黑" w:eastAsia="微软雅黑"/>
          <w:b/>
          <w:bCs/>
          <w:sz w:val="21"/>
          <w:szCs w:val="21"/>
          <w:lang w:val="en-US" w:eastAsia="zh-CN"/>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核心内容介绍</w:t>
      </w:r>
    </w:p>
    <w:p w14:paraId="6EB295FC">
      <w:pPr>
        <w:pStyle w:val="5"/>
        <w:snapToGrid w:val="0"/>
        <w:spacing w:line="400" w:lineRule="exact"/>
        <w:rPr>
          <w:rFonts w:hint="eastAsia" w:ascii="微软雅黑" w:hAnsi="微软雅黑" w:eastAsia="微软雅黑" w:cs="微软雅黑"/>
          <w:b/>
          <w:color w:val="FF5B09"/>
          <w:sz w:val="32"/>
          <w:szCs w:val="32"/>
          <w:lang w:val="en-US" w:eastAsia="zh-CN"/>
        </w:rPr>
      </w:pPr>
      <w:r>
        <w:rPr>
          <w:rFonts w:hint="eastAsia" w:ascii="微软雅黑" w:hAnsi="微软雅黑" w:eastAsia="微软雅黑" w:cs="微软雅黑"/>
          <w:b/>
          <w:color w:val="FF5B09"/>
          <w:sz w:val="32"/>
          <w:szCs w:val="32"/>
        </w:rPr>
        <w:t>第一章：人力资本效能管理</w:t>
      </w:r>
      <w:r>
        <w:rPr>
          <w:rFonts w:hint="eastAsia" w:ascii="微软雅黑" w:hAnsi="微软雅黑" w:eastAsia="微软雅黑" w:cs="微软雅黑"/>
          <w:b/>
          <w:color w:val="FF5B09"/>
          <w:sz w:val="32"/>
          <w:szCs w:val="32"/>
          <w:lang w:val="en-US" w:eastAsia="zh-CN"/>
        </w:rPr>
        <w:t>概述</w:t>
      </w:r>
    </w:p>
    <w:p w14:paraId="73DEDF59">
      <w:pPr>
        <w:pStyle w:val="5"/>
        <w:numPr>
          <w:ilvl w:val="0"/>
          <w:numId w:val="1"/>
        </w:numPr>
        <w:snapToGrid w:val="0"/>
        <w:spacing w:line="360" w:lineRule="auto"/>
        <w:ind w:left="425" w:leftChars="0" w:hanging="425" w:firstLineChars="0"/>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人力资本效能定义、特征</w:t>
      </w:r>
      <w:bookmarkStart w:id="0" w:name="_GoBack"/>
      <w:bookmarkEnd w:id="0"/>
    </w:p>
    <w:p w14:paraId="72DBA185">
      <w:pPr>
        <w:pStyle w:val="5"/>
        <w:numPr>
          <w:ilvl w:val="0"/>
          <w:numId w:val="1"/>
        </w:numPr>
        <w:snapToGrid w:val="0"/>
        <w:spacing w:line="360" w:lineRule="auto"/>
        <w:ind w:left="425" w:leftChars="0" w:hanging="425" w:firstLineChars="0"/>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人力资本效能测量演变</w:t>
      </w:r>
    </w:p>
    <w:p w14:paraId="2D9B88A6">
      <w:pPr>
        <w:pStyle w:val="5"/>
        <w:numPr>
          <w:ilvl w:val="0"/>
          <w:numId w:val="1"/>
        </w:numPr>
        <w:snapToGrid w:val="0"/>
        <w:spacing w:line="360" w:lineRule="auto"/>
        <w:ind w:left="425" w:leftChars="0" w:hanging="425" w:firstLineChars="0"/>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人力资本效能指标数据渠道建立</w:t>
      </w:r>
    </w:p>
    <w:p w14:paraId="1AA92739">
      <w:pPr>
        <w:pStyle w:val="5"/>
        <w:numPr>
          <w:ilvl w:val="0"/>
          <w:numId w:val="1"/>
        </w:numPr>
        <w:snapToGrid w:val="0"/>
        <w:spacing w:line="360" w:lineRule="auto"/>
        <w:ind w:left="425" w:leftChars="0" w:hanging="425" w:firstLineChars="0"/>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人力资本效能驱动模型</w:t>
      </w:r>
    </w:p>
    <w:p w14:paraId="7FE79A55">
      <w:pPr>
        <w:pStyle w:val="5"/>
        <w:snapToGrid w:val="0"/>
        <w:spacing w:line="400" w:lineRule="exact"/>
        <w:rPr>
          <w:rFonts w:hint="eastAsia" w:ascii="微软雅黑" w:hAnsi="微软雅黑" w:eastAsia="微软雅黑" w:cs="微软雅黑"/>
          <w:b/>
          <w:color w:val="FF5B09"/>
          <w:sz w:val="32"/>
          <w:szCs w:val="32"/>
        </w:rPr>
      </w:pPr>
      <w:r>
        <w:rPr>
          <w:rFonts w:hint="eastAsia" w:ascii="微软雅黑" w:hAnsi="微软雅黑" w:eastAsia="微软雅黑" w:cs="微软雅黑"/>
          <w:b/>
          <w:color w:val="FF5B09"/>
          <w:sz w:val="32"/>
          <w:szCs w:val="32"/>
        </w:rPr>
        <w:t>第二章：人力资本效能指标体系构建与诊断</w:t>
      </w:r>
    </w:p>
    <w:p w14:paraId="69B66E73">
      <w:pPr>
        <w:pStyle w:val="5"/>
        <w:numPr>
          <w:ilvl w:val="0"/>
          <w:numId w:val="2"/>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
          <w:bCs w:val="0"/>
          <w:sz w:val="22"/>
          <w:szCs w:val="22"/>
        </w:rPr>
        <w:t>从业务成功到员工成功：</w:t>
      </w:r>
      <w:r>
        <w:rPr>
          <w:rFonts w:hint="eastAsia" w:ascii="微软雅黑" w:hAnsi="微软雅黑" w:eastAsia="微软雅黑" w:cs="微软雅黑"/>
          <w:bCs/>
          <w:sz w:val="22"/>
          <w:szCs w:val="22"/>
        </w:rPr>
        <w:t>人效指标构建的底层逻辑</w:t>
      </w:r>
      <w:r>
        <w:rPr>
          <w:rFonts w:hint="eastAsia" w:ascii="微软雅黑" w:hAnsi="微软雅黑" w:eastAsia="微软雅黑" w:cs="微软雅黑"/>
          <w:bCs/>
          <w:sz w:val="22"/>
          <w:szCs w:val="22"/>
          <w:lang w:eastAsia="zh-CN"/>
        </w:rPr>
        <w:t>、</w:t>
      </w:r>
      <w:r>
        <w:rPr>
          <w:rFonts w:hint="eastAsia" w:ascii="微软雅黑" w:hAnsi="微软雅黑" w:eastAsia="微软雅黑" w:cs="微软雅黑"/>
          <w:bCs/>
          <w:sz w:val="22"/>
          <w:szCs w:val="22"/>
        </w:rPr>
        <w:t>分析维度与分析方法</w:t>
      </w:r>
    </w:p>
    <w:p w14:paraId="48D550F0">
      <w:pPr>
        <w:pStyle w:val="5"/>
        <w:numPr>
          <w:ilvl w:val="0"/>
          <w:numId w:val="2"/>
        </w:numPr>
        <w:snapToGrid w:val="0"/>
        <w:spacing w:line="360" w:lineRule="auto"/>
        <w:rPr>
          <w:rFonts w:ascii="微软雅黑" w:hAnsi="微软雅黑" w:eastAsia="微软雅黑" w:cs="微软雅黑"/>
          <w:bCs/>
          <w:sz w:val="22"/>
          <w:szCs w:val="22"/>
        </w:rPr>
      </w:pPr>
      <w:r>
        <w:rPr>
          <w:rFonts w:hint="eastAsia" w:ascii="微软雅黑" w:hAnsi="微软雅黑" w:eastAsia="微软雅黑" w:cs="微软雅黑"/>
          <w:b/>
          <w:bCs w:val="0"/>
          <w:sz w:val="22"/>
          <w:szCs w:val="22"/>
        </w:rPr>
        <w:t>关键人效指标提取与分析示例</w:t>
      </w:r>
      <w:r>
        <w:rPr>
          <w:rFonts w:hint="eastAsia" w:ascii="微软雅黑" w:hAnsi="微软雅黑" w:eastAsia="微软雅黑" w:cs="微软雅黑"/>
          <w:bCs/>
          <w:sz w:val="22"/>
          <w:szCs w:val="22"/>
        </w:rPr>
        <w:t>（人效指标库、分析模版、工具、示例）</w:t>
      </w:r>
    </w:p>
    <w:p w14:paraId="050C6DA5">
      <w:pPr>
        <w:pStyle w:val="5"/>
        <w:numPr>
          <w:ilvl w:val="0"/>
          <w:numId w:val="3"/>
        </w:numPr>
        <w:snapToGrid w:val="0"/>
        <w:spacing w:line="360" w:lineRule="auto"/>
        <w:ind w:left="420" w:leftChars="0"/>
        <w:rPr>
          <w:rFonts w:ascii="微软雅黑" w:hAnsi="微软雅黑" w:eastAsia="微软雅黑" w:cs="微软雅黑"/>
          <w:bCs/>
          <w:sz w:val="22"/>
          <w:szCs w:val="22"/>
        </w:rPr>
      </w:pPr>
      <w:r>
        <w:rPr>
          <w:rFonts w:hint="eastAsia" w:ascii="微软雅黑" w:hAnsi="微软雅黑" w:eastAsia="微软雅黑" w:cs="微软雅黑"/>
          <w:bCs/>
          <w:sz w:val="22"/>
          <w:szCs w:val="22"/>
        </w:rPr>
        <w:t>链接“财务报表”的人效指标提取与分析：劳动生产率、人事费用率、人力资本投资回报率…</w:t>
      </w:r>
    </w:p>
    <w:p w14:paraId="0F2F5A7C">
      <w:pPr>
        <w:pStyle w:val="5"/>
        <w:numPr>
          <w:ilvl w:val="0"/>
          <w:numId w:val="3"/>
        </w:numPr>
        <w:snapToGrid w:val="0"/>
        <w:spacing w:line="360" w:lineRule="auto"/>
        <w:ind w:left="420" w:leftChars="0"/>
        <w:rPr>
          <w:rFonts w:ascii="微软雅黑" w:hAnsi="微软雅黑" w:eastAsia="微软雅黑" w:cs="微软雅黑"/>
          <w:bCs/>
          <w:sz w:val="22"/>
          <w:szCs w:val="22"/>
        </w:rPr>
      </w:pPr>
      <w:r>
        <w:rPr>
          <w:rFonts w:hint="eastAsia" w:ascii="微软雅黑" w:hAnsi="微软雅黑" w:eastAsia="微软雅黑" w:cs="微软雅黑"/>
          <w:bCs/>
          <w:sz w:val="22"/>
          <w:szCs w:val="22"/>
        </w:rPr>
        <w:t>指向人才队伍流量</w:t>
      </w:r>
      <w:r>
        <w:rPr>
          <w:rFonts w:ascii="微软雅黑" w:hAnsi="微软雅黑" w:eastAsia="微软雅黑" w:cs="微软雅黑"/>
          <w:bCs/>
          <w:sz w:val="22"/>
          <w:szCs w:val="22"/>
        </w:rPr>
        <w:t>&amp;</w:t>
      </w:r>
      <w:r>
        <w:rPr>
          <w:rFonts w:hint="eastAsia" w:ascii="微软雅黑" w:hAnsi="微软雅黑" w:eastAsia="微软雅黑" w:cs="微软雅黑"/>
          <w:bCs/>
          <w:sz w:val="22"/>
          <w:szCs w:val="22"/>
        </w:rPr>
        <w:t>质量的人效指标提取与分析：人才结构、人才流动性、人才密度、人才敬业度…</w:t>
      </w:r>
    </w:p>
    <w:p w14:paraId="05D1660B">
      <w:pPr>
        <w:pStyle w:val="5"/>
        <w:numPr>
          <w:ilvl w:val="0"/>
          <w:numId w:val="3"/>
        </w:numPr>
        <w:snapToGrid w:val="0"/>
        <w:spacing w:line="360" w:lineRule="auto"/>
        <w:ind w:left="420" w:leftChars="0"/>
        <w:rPr>
          <w:rFonts w:ascii="微软雅黑" w:hAnsi="微软雅黑" w:eastAsia="微软雅黑" w:cs="微软雅黑"/>
          <w:bCs/>
          <w:sz w:val="22"/>
          <w:szCs w:val="22"/>
        </w:rPr>
      </w:pPr>
      <w:r>
        <w:rPr>
          <w:rFonts w:hint="eastAsia" w:ascii="微软雅黑" w:hAnsi="微软雅黑" w:eastAsia="微软雅黑" w:cs="微软雅黑"/>
          <w:bCs/>
          <w:sz w:val="22"/>
          <w:szCs w:val="22"/>
        </w:rPr>
        <w:t>指向人才选育用留效能的人效指标提取与分析：招聘有效性、培训有效性、薪酬竞争力</w:t>
      </w:r>
      <w:r>
        <w:rPr>
          <w:rFonts w:ascii="微软雅黑" w:hAnsi="微软雅黑" w:eastAsia="微软雅黑" w:cs="微软雅黑"/>
          <w:bCs/>
          <w:sz w:val="22"/>
          <w:szCs w:val="22"/>
        </w:rPr>
        <w:t>&amp;</w:t>
      </w:r>
      <w:r>
        <w:rPr>
          <w:rFonts w:hint="eastAsia" w:ascii="微软雅黑" w:hAnsi="微软雅黑" w:eastAsia="微软雅黑" w:cs="微软雅黑"/>
          <w:bCs/>
          <w:sz w:val="22"/>
          <w:szCs w:val="22"/>
        </w:rPr>
        <w:t>公平性、激励有效性、激励强度…</w:t>
      </w:r>
    </w:p>
    <w:p w14:paraId="7109D567">
      <w:pPr>
        <w:pStyle w:val="5"/>
        <w:numPr>
          <w:ilvl w:val="0"/>
          <w:numId w:val="2"/>
        </w:numPr>
        <w:snapToGrid w:val="0"/>
        <w:spacing w:line="360" w:lineRule="auto"/>
        <w:rPr>
          <w:rFonts w:hint="eastAsia" w:ascii="微软雅黑" w:hAnsi="微软雅黑" w:eastAsia="微软雅黑" w:cs="微软雅黑"/>
          <w:b/>
          <w:bCs w:val="0"/>
          <w:sz w:val="22"/>
          <w:szCs w:val="22"/>
        </w:rPr>
      </w:pPr>
      <w:r>
        <w:rPr>
          <w:rFonts w:hint="eastAsia" w:ascii="微软雅黑" w:hAnsi="微软雅黑" w:eastAsia="微软雅黑" w:cs="微软雅黑"/>
          <w:b/>
          <w:bCs w:val="0"/>
          <w:sz w:val="22"/>
          <w:szCs w:val="22"/>
        </w:rPr>
        <w:t>基于战略的人效测量模型推演与验证</w:t>
      </w:r>
    </w:p>
    <w:p w14:paraId="4830E13C">
      <w:pPr>
        <w:pStyle w:val="5"/>
        <w:snapToGrid w:val="0"/>
        <w:spacing w:line="400" w:lineRule="exact"/>
        <w:rPr>
          <w:rFonts w:hint="default" w:ascii="微软雅黑" w:hAnsi="微软雅黑" w:eastAsia="微软雅黑" w:cs="微软雅黑"/>
          <w:b/>
          <w:color w:val="FF5B09"/>
          <w:sz w:val="32"/>
          <w:szCs w:val="32"/>
          <w:lang w:val="en-US" w:eastAsia="zh-CN"/>
        </w:rPr>
      </w:pPr>
      <w:r>
        <w:rPr>
          <w:rFonts w:hint="eastAsia" w:ascii="微软雅黑" w:hAnsi="微软雅黑" w:eastAsia="微软雅黑" w:cs="微软雅黑"/>
          <w:b/>
          <w:color w:val="FF5B09"/>
          <w:sz w:val="32"/>
          <w:szCs w:val="32"/>
        </w:rPr>
        <w:t>第</w:t>
      </w:r>
      <w:r>
        <w:rPr>
          <w:rFonts w:hint="eastAsia" w:ascii="微软雅黑" w:hAnsi="微软雅黑" w:eastAsia="微软雅黑" w:cs="微软雅黑"/>
          <w:b/>
          <w:color w:val="FF5B09"/>
          <w:sz w:val="32"/>
          <w:szCs w:val="32"/>
          <w:lang w:val="en-US" w:eastAsia="zh-CN"/>
        </w:rPr>
        <w:t>三</w:t>
      </w:r>
      <w:r>
        <w:rPr>
          <w:rFonts w:hint="eastAsia" w:ascii="微软雅黑" w:hAnsi="微软雅黑" w:eastAsia="微软雅黑" w:cs="微软雅黑"/>
          <w:b/>
          <w:color w:val="FF5B09"/>
          <w:sz w:val="32"/>
          <w:szCs w:val="32"/>
        </w:rPr>
        <w:t>章：人效</w:t>
      </w:r>
      <w:r>
        <w:rPr>
          <w:rFonts w:hint="eastAsia" w:ascii="微软雅黑" w:hAnsi="微软雅黑" w:eastAsia="微软雅黑" w:cs="微软雅黑"/>
          <w:b/>
          <w:color w:val="FF5B09"/>
          <w:sz w:val="32"/>
          <w:szCs w:val="32"/>
          <w:lang w:val="en-US" w:eastAsia="zh-CN"/>
        </w:rPr>
        <w:t>提升策略与方案设计</w:t>
      </w:r>
    </w:p>
    <w:p w14:paraId="7C2CB3A5">
      <w:pPr>
        <w:pStyle w:val="5"/>
        <w:snapToGrid w:val="0"/>
        <w:spacing w:line="276" w:lineRule="auto"/>
        <w:rPr>
          <w:rFonts w:ascii="微软雅黑" w:hAnsi="微软雅黑" w:eastAsia="微软雅黑" w:cs="微软雅黑"/>
          <w:b/>
        </w:rPr>
      </w:pPr>
      <w:r>
        <w:rPr>
          <w:rFonts w:hint="eastAsia" w:ascii="微软雅黑" w:hAnsi="微软雅黑" w:eastAsia="微软雅黑" w:cs="微软雅黑"/>
          <w:b/>
        </w:rPr>
        <w:t>1.</w:t>
      </w:r>
      <w:r>
        <w:rPr>
          <w:rFonts w:ascii="微软雅黑" w:hAnsi="微软雅黑" w:eastAsia="微软雅黑" w:cs="微软雅黑"/>
          <w:b/>
        </w:rPr>
        <w:t xml:space="preserve"> </w:t>
      </w:r>
      <w:r>
        <w:rPr>
          <w:rFonts w:hint="eastAsia" w:ascii="微软雅黑" w:hAnsi="微软雅黑" w:eastAsia="微软雅黑" w:cs="微软雅黑"/>
          <w:b/>
        </w:rPr>
        <w:t>人效投资</w:t>
      </w:r>
      <w:r>
        <w:rPr>
          <w:rFonts w:ascii="微软雅黑" w:hAnsi="微软雅黑" w:eastAsia="微软雅黑" w:cs="微软雅黑"/>
          <w:b/>
        </w:rPr>
        <w:t>-</w:t>
      </w:r>
      <w:r>
        <w:rPr>
          <w:rFonts w:hint="eastAsia" w:ascii="微软雅黑" w:hAnsi="微软雅黑" w:eastAsia="微软雅黑" w:cs="微软雅黑"/>
          <w:b/>
        </w:rPr>
        <w:t>收益模型分析：定位人效提升“真方向”、“真对象”</w:t>
      </w:r>
    </w:p>
    <w:p w14:paraId="514B6758">
      <w:pPr>
        <w:pStyle w:val="5"/>
        <w:snapToGrid w:val="0"/>
        <w:spacing w:line="276" w:lineRule="auto"/>
        <w:rPr>
          <w:rFonts w:ascii="微软雅黑" w:hAnsi="微软雅黑" w:eastAsia="微软雅黑" w:cs="微软雅黑"/>
          <w:b/>
        </w:rPr>
      </w:pPr>
      <w:r>
        <w:rPr>
          <w:rFonts w:hint="eastAsia" w:ascii="微软雅黑" w:hAnsi="微软雅黑" w:eastAsia="微软雅黑" w:cs="微软雅黑"/>
          <w:b/>
        </w:rPr>
        <w:t>2.</w:t>
      </w:r>
      <w:r>
        <w:rPr>
          <w:rFonts w:ascii="微软雅黑" w:hAnsi="微软雅黑" w:eastAsia="微软雅黑" w:cs="微软雅黑"/>
          <w:b/>
        </w:rPr>
        <w:t xml:space="preserve"> </w:t>
      </w:r>
      <w:r>
        <w:rPr>
          <w:rFonts w:hint="eastAsia" w:ascii="微软雅黑" w:hAnsi="微软雅黑" w:eastAsia="微软雅黑" w:cs="微软雅黑"/>
          <w:b/>
        </w:rPr>
        <w:t>人效提升举措一：组织职能优化与重组，提升组织对市场、客户的价值</w:t>
      </w:r>
    </w:p>
    <w:p w14:paraId="1E8F11B0">
      <w:pPr>
        <w:pStyle w:val="5"/>
        <w:numPr>
          <w:ilvl w:val="0"/>
          <w:numId w:val="4"/>
        </w:numPr>
        <w:snapToGrid w:val="0"/>
        <w:spacing w:line="360" w:lineRule="auto"/>
        <w:ind w:left="640" w:leftChars="0"/>
        <w:rPr>
          <w:rFonts w:ascii="微软雅黑" w:hAnsi="微软雅黑" w:eastAsia="微软雅黑" w:cs="微软雅黑"/>
          <w:bCs/>
          <w:sz w:val="22"/>
          <w:szCs w:val="22"/>
        </w:rPr>
      </w:pPr>
      <w:r>
        <w:rPr>
          <w:rFonts w:hint="eastAsia" w:ascii="微软雅黑" w:hAnsi="微软雅黑" w:eastAsia="微软雅黑" w:cs="微软雅黑"/>
          <w:bCs/>
          <w:sz w:val="22"/>
          <w:szCs w:val="22"/>
        </w:rPr>
        <w:t>组织架构基本模式及新模式</w:t>
      </w:r>
    </w:p>
    <w:p w14:paraId="48BB29B4">
      <w:pPr>
        <w:pStyle w:val="5"/>
        <w:numPr>
          <w:ilvl w:val="0"/>
          <w:numId w:val="4"/>
        </w:numPr>
        <w:snapToGrid w:val="0"/>
        <w:spacing w:line="360" w:lineRule="auto"/>
        <w:ind w:left="640" w:leftChars="0"/>
        <w:rPr>
          <w:rFonts w:ascii="微软雅黑" w:hAnsi="微软雅黑" w:eastAsia="微软雅黑" w:cs="微软雅黑"/>
          <w:bCs/>
          <w:sz w:val="22"/>
          <w:szCs w:val="22"/>
        </w:rPr>
      </w:pPr>
      <w:r>
        <w:rPr>
          <w:rFonts w:hint="eastAsia" w:ascii="微软雅黑" w:hAnsi="微软雅黑" w:eastAsia="微软雅黑" w:cs="微软雅黑"/>
          <w:bCs/>
          <w:sz w:val="22"/>
          <w:szCs w:val="22"/>
        </w:rPr>
        <w:t>组织再造案例剖析</w:t>
      </w:r>
      <w:r>
        <w:rPr>
          <w:rFonts w:ascii="微软雅黑" w:hAnsi="微软雅黑" w:eastAsia="微软雅黑" w:cs="微软雅黑"/>
          <w:bCs/>
          <w:sz w:val="22"/>
          <w:szCs w:val="22"/>
        </w:rPr>
        <w:t>1-5</w:t>
      </w:r>
      <w:r>
        <w:rPr>
          <w:rFonts w:hint="eastAsia" w:ascii="微软雅黑" w:hAnsi="微软雅黑" w:eastAsia="微软雅黑" w:cs="微软雅黑"/>
          <w:bCs/>
          <w:sz w:val="22"/>
          <w:szCs w:val="22"/>
        </w:rPr>
        <w:t>（销售</w:t>
      </w:r>
      <w:r>
        <w:rPr>
          <w:rFonts w:ascii="微软雅黑" w:hAnsi="微软雅黑" w:eastAsia="微软雅黑" w:cs="微软雅黑"/>
          <w:bCs/>
          <w:sz w:val="22"/>
          <w:szCs w:val="22"/>
        </w:rPr>
        <w:t>/</w:t>
      </w:r>
      <w:r>
        <w:rPr>
          <w:rFonts w:hint="eastAsia" w:ascii="微软雅黑" w:hAnsi="微软雅黑" w:eastAsia="微软雅黑" w:cs="微软雅黑"/>
          <w:bCs/>
          <w:sz w:val="22"/>
          <w:szCs w:val="22"/>
        </w:rPr>
        <w:t>研发</w:t>
      </w:r>
      <w:r>
        <w:rPr>
          <w:rFonts w:ascii="微软雅黑" w:hAnsi="微软雅黑" w:eastAsia="微软雅黑" w:cs="微软雅黑"/>
          <w:bCs/>
          <w:sz w:val="22"/>
          <w:szCs w:val="22"/>
        </w:rPr>
        <w:t>/</w:t>
      </w:r>
      <w:r>
        <w:rPr>
          <w:rFonts w:hint="eastAsia" w:ascii="微软雅黑" w:hAnsi="微软雅黑" w:eastAsia="微软雅黑" w:cs="微软雅黑"/>
          <w:bCs/>
          <w:sz w:val="22"/>
          <w:szCs w:val="22"/>
        </w:rPr>
        <w:t>生产</w:t>
      </w:r>
      <w:r>
        <w:rPr>
          <w:rFonts w:ascii="微软雅黑" w:hAnsi="微软雅黑" w:eastAsia="微软雅黑" w:cs="微软雅黑"/>
          <w:bCs/>
          <w:sz w:val="22"/>
          <w:szCs w:val="22"/>
        </w:rPr>
        <w:t>/</w:t>
      </w:r>
      <w:r>
        <w:rPr>
          <w:rFonts w:hint="eastAsia" w:ascii="微软雅黑" w:hAnsi="微软雅黑" w:eastAsia="微软雅黑" w:cs="微软雅黑"/>
          <w:bCs/>
          <w:sz w:val="22"/>
          <w:szCs w:val="22"/>
        </w:rPr>
        <w:t>离岸团队…）</w:t>
      </w:r>
    </w:p>
    <w:p w14:paraId="40A5BB63">
      <w:pPr>
        <w:pStyle w:val="5"/>
        <w:snapToGrid w:val="0"/>
        <w:spacing w:line="276" w:lineRule="auto"/>
        <w:rPr>
          <w:rFonts w:ascii="微软雅黑" w:hAnsi="微软雅黑" w:eastAsia="微软雅黑" w:cs="微软雅黑"/>
          <w:b/>
        </w:rPr>
      </w:pPr>
      <w:r>
        <w:rPr>
          <w:rFonts w:hint="eastAsia" w:ascii="微软雅黑" w:hAnsi="微软雅黑" w:eastAsia="微软雅黑" w:cs="微软雅黑"/>
          <w:b/>
        </w:rPr>
        <w:t>3.</w:t>
      </w:r>
      <w:r>
        <w:rPr>
          <w:rFonts w:ascii="微软雅黑" w:hAnsi="微软雅黑" w:eastAsia="微软雅黑" w:cs="微软雅黑"/>
          <w:b/>
        </w:rPr>
        <w:t xml:space="preserve"> </w:t>
      </w:r>
      <w:r>
        <w:rPr>
          <w:rFonts w:hint="eastAsia" w:ascii="微软雅黑" w:hAnsi="微软雅黑" w:eastAsia="微软雅黑" w:cs="微软雅黑"/>
          <w:b/>
        </w:rPr>
        <w:t>人效提升举措二：优化业务流程、决策程序与职位设置，提升组织运行效率</w:t>
      </w:r>
    </w:p>
    <w:p w14:paraId="28EB2D68">
      <w:pPr>
        <w:pStyle w:val="5"/>
        <w:numPr>
          <w:ilvl w:val="0"/>
          <w:numId w:val="5"/>
        </w:numPr>
        <w:snapToGrid w:val="0"/>
        <w:spacing w:line="276"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流程问题剖析示例</w:t>
      </w:r>
    </w:p>
    <w:p w14:paraId="138E8B93">
      <w:pPr>
        <w:pStyle w:val="5"/>
        <w:numPr>
          <w:ilvl w:val="0"/>
          <w:numId w:val="5"/>
        </w:numPr>
        <w:snapToGrid w:val="0"/>
        <w:spacing w:line="276"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流程裁剪与优化剖析&amp;示例（流程截断、补强、打通、并性、融合…）</w:t>
      </w:r>
    </w:p>
    <w:p w14:paraId="60938E2D">
      <w:pPr>
        <w:pStyle w:val="5"/>
        <w:numPr>
          <w:ilvl w:val="0"/>
          <w:numId w:val="5"/>
        </w:numPr>
        <w:snapToGrid w:val="0"/>
        <w:spacing w:line="276"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职位设计新发展剖析&amp;示例（工作扩大化、丰富化、弹性化、工作整合设计</w:t>
      </w:r>
    </w:p>
    <w:p w14:paraId="5293FBBC">
      <w:pPr>
        <w:pStyle w:val="5"/>
        <w:snapToGrid w:val="0"/>
        <w:spacing w:line="276" w:lineRule="auto"/>
        <w:rPr>
          <w:rFonts w:ascii="微软雅黑" w:hAnsi="微软雅黑" w:eastAsia="微软雅黑" w:cs="微软雅黑"/>
          <w:b/>
        </w:rPr>
      </w:pPr>
      <w:r>
        <w:rPr>
          <w:rFonts w:hint="eastAsia" w:ascii="微软雅黑" w:hAnsi="微软雅黑" w:eastAsia="微软雅黑" w:cs="微软雅黑"/>
          <w:b/>
        </w:rPr>
        <w:t>4.</w:t>
      </w:r>
      <w:r>
        <w:rPr>
          <w:rFonts w:ascii="微软雅黑" w:hAnsi="微软雅黑" w:eastAsia="微软雅黑" w:cs="微软雅黑"/>
          <w:b/>
        </w:rPr>
        <w:t xml:space="preserve"> </w:t>
      </w:r>
      <w:r>
        <w:rPr>
          <w:rFonts w:hint="eastAsia" w:ascii="微软雅黑" w:hAnsi="微软雅黑" w:eastAsia="微软雅黑" w:cs="微软雅黑"/>
          <w:b/>
        </w:rPr>
        <w:t>人效提升举措三：优化人才结构与配置，强化编制管控</w:t>
      </w:r>
    </w:p>
    <w:p w14:paraId="4FAE5005">
      <w:pPr>
        <w:pStyle w:val="5"/>
        <w:numPr>
          <w:ilvl w:val="0"/>
          <w:numId w:val="6"/>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编制管控的四种典型情境</w:t>
      </w:r>
    </w:p>
    <w:p w14:paraId="7B852F0A">
      <w:pPr>
        <w:pStyle w:val="5"/>
        <w:numPr>
          <w:ilvl w:val="0"/>
          <w:numId w:val="6"/>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编制规划的七种方法&amp;示例（业务数据分析法、行业比例法、劳动定额法、预算管控法…）</w:t>
      </w:r>
    </w:p>
    <w:p w14:paraId="6E8F5107">
      <w:pPr>
        <w:pStyle w:val="5"/>
        <w:numPr>
          <w:ilvl w:val="0"/>
          <w:numId w:val="6"/>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编制规划的三种曲线</w:t>
      </w:r>
    </w:p>
    <w:p w14:paraId="49AD27D1">
      <w:pPr>
        <w:pStyle w:val="5"/>
        <w:numPr>
          <w:ilvl w:val="0"/>
          <w:numId w:val="6"/>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人才供给方案及新的策略（人天配置、多能工、外部人才仓、智能排班…）</w:t>
      </w:r>
    </w:p>
    <w:p w14:paraId="427DE6B0">
      <w:pPr>
        <w:pStyle w:val="5"/>
        <w:snapToGrid w:val="0"/>
        <w:spacing w:line="276" w:lineRule="auto"/>
        <w:rPr>
          <w:rFonts w:ascii="微软雅黑" w:hAnsi="微软雅黑" w:eastAsia="微软雅黑" w:cs="微软雅黑"/>
          <w:b/>
        </w:rPr>
      </w:pPr>
      <w:r>
        <w:rPr>
          <w:rFonts w:hint="eastAsia" w:ascii="微软雅黑" w:hAnsi="微软雅黑" w:eastAsia="微软雅黑" w:cs="微软雅黑"/>
          <w:b/>
        </w:rPr>
        <w:t>5.人效提升举措四：强化战略性人才管理，提升人才密度</w:t>
      </w:r>
    </w:p>
    <w:p w14:paraId="7D6A3AEA">
      <w:pPr>
        <w:pStyle w:val="5"/>
        <w:numPr>
          <w:ilvl w:val="0"/>
          <w:numId w:val="7"/>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关键岗位分类、筛选</w:t>
      </w:r>
    </w:p>
    <w:p w14:paraId="40F37F5A">
      <w:pPr>
        <w:pStyle w:val="5"/>
        <w:numPr>
          <w:ilvl w:val="0"/>
          <w:numId w:val="7"/>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战略性人才加速发展示例（复合式发展、拓宽职业发展、关键技能增强…）</w:t>
      </w:r>
    </w:p>
    <w:p w14:paraId="372F1243">
      <w:pPr>
        <w:pStyle w:val="5"/>
        <w:snapToGrid w:val="0"/>
        <w:spacing w:line="276" w:lineRule="auto"/>
        <w:rPr>
          <w:rFonts w:ascii="微软雅黑" w:hAnsi="微软雅黑" w:eastAsia="微软雅黑" w:cs="微软雅黑"/>
          <w:b/>
        </w:rPr>
      </w:pPr>
      <w:r>
        <w:rPr>
          <w:rFonts w:hint="eastAsia" w:ascii="微软雅黑" w:hAnsi="微软雅黑" w:eastAsia="微软雅黑" w:cs="微软雅黑"/>
          <w:b/>
        </w:rPr>
        <w:t>6.</w:t>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b/>
        </w:rPr>
        <w:t>人效提升举措五：运用差异化奖酬手段，强化激励效果，提升员工动</w:t>
      </w:r>
      <w:r>
        <w:rPr>
          <w:rFonts w:ascii="微软雅黑" w:hAnsi="微软雅黑" w:eastAsia="微软雅黑" w:cs="微软雅黑"/>
          <w:b/>
        </w:rPr>
        <w:t>-</w:t>
      </w:r>
      <w:r>
        <w:rPr>
          <w:rFonts w:hint="eastAsia" w:ascii="微软雅黑" w:hAnsi="微软雅黑" w:eastAsia="微软雅黑" w:cs="微软雅黑"/>
          <w:b/>
        </w:rPr>
        <w:t>能</w:t>
      </w:r>
      <w:r>
        <w:rPr>
          <w:rFonts w:ascii="微软雅黑" w:hAnsi="微软雅黑" w:eastAsia="微软雅黑" w:cs="微软雅黑"/>
          <w:b/>
        </w:rPr>
        <w:t>-</w:t>
      </w:r>
      <w:r>
        <w:rPr>
          <w:rFonts w:hint="eastAsia" w:ascii="微软雅黑" w:hAnsi="微软雅黑" w:eastAsia="微软雅黑" w:cs="微软雅黑"/>
          <w:b/>
        </w:rPr>
        <w:t>绩</w:t>
      </w:r>
    </w:p>
    <w:p w14:paraId="56070A06">
      <w:pPr>
        <w:pStyle w:val="5"/>
        <w:numPr>
          <w:ilvl w:val="0"/>
          <w:numId w:val="8"/>
        </w:numPr>
        <w:snapToGrid w:val="0"/>
        <w:spacing w:line="360" w:lineRule="auto"/>
        <w:rPr>
          <w:rFonts w:ascii="微软雅黑" w:hAnsi="微软雅黑" w:eastAsia="微软雅黑" w:cs="微软雅黑"/>
          <w:bCs/>
          <w:sz w:val="22"/>
          <w:szCs w:val="22"/>
        </w:rPr>
      </w:pPr>
      <w:r>
        <w:rPr>
          <w:rFonts w:hint="eastAsia" w:ascii="微软雅黑" w:hAnsi="微软雅黑" w:eastAsia="微软雅黑" w:cs="微软雅黑"/>
          <w:bCs/>
          <w:sz w:val="22"/>
          <w:szCs w:val="22"/>
        </w:rPr>
        <w:t>新的奖酬机制：全局性的、个性化的</w:t>
      </w:r>
    </w:p>
    <w:p w14:paraId="1514CEB4">
      <w:pPr>
        <w:pStyle w:val="5"/>
        <w:numPr>
          <w:ilvl w:val="0"/>
          <w:numId w:val="8"/>
        </w:numPr>
        <w:snapToGrid w:val="0"/>
        <w:spacing w:line="360" w:lineRule="auto"/>
        <w:rPr>
          <w:rFonts w:ascii="微软雅黑" w:hAnsi="微软雅黑" w:eastAsia="微软雅黑" w:cs="微软雅黑"/>
          <w:bCs/>
          <w:sz w:val="22"/>
          <w:szCs w:val="22"/>
        </w:rPr>
      </w:pPr>
      <w:r>
        <w:rPr>
          <w:rFonts w:hint="eastAsia" w:ascii="微软雅黑" w:hAnsi="微软雅黑" w:eastAsia="微软雅黑" w:cs="微软雅黑"/>
          <w:bCs/>
          <w:sz w:val="22"/>
          <w:szCs w:val="22"/>
        </w:rPr>
        <w:t>差异化薪酬策略设计及示例</w:t>
      </w:r>
    </w:p>
    <w:p w14:paraId="2C6F6DB8">
      <w:pPr>
        <w:pStyle w:val="5"/>
        <w:numPr>
          <w:ilvl w:val="0"/>
          <w:numId w:val="8"/>
        </w:numPr>
        <w:snapToGrid w:val="0"/>
        <w:spacing w:line="360" w:lineRule="auto"/>
        <w:rPr>
          <w:rFonts w:ascii="微软雅黑" w:hAnsi="微软雅黑" w:eastAsia="微软雅黑" w:cs="微软雅黑"/>
          <w:bCs/>
          <w:sz w:val="22"/>
          <w:szCs w:val="22"/>
        </w:rPr>
      </w:pPr>
      <w:r>
        <w:rPr>
          <w:rFonts w:hint="eastAsia" w:ascii="微软雅黑" w:hAnsi="微软雅黑" w:eastAsia="微软雅黑" w:cs="微软雅黑"/>
          <w:bCs/>
          <w:sz w:val="22"/>
          <w:szCs w:val="22"/>
        </w:rPr>
        <w:t>差异化薪酬投放：考虑业务特性和增长方式</w:t>
      </w:r>
    </w:p>
    <w:p w14:paraId="5E0B7953">
      <w:pPr>
        <w:pStyle w:val="5"/>
        <w:numPr>
          <w:ilvl w:val="0"/>
          <w:numId w:val="8"/>
        </w:numPr>
        <w:snapToGrid w:val="0"/>
        <w:spacing w:line="360" w:lineRule="auto"/>
        <w:rPr>
          <w:rFonts w:ascii="微软雅黑" w:hAnsi="微软雅黑" w:eastAsia="微软雅黑" w:cs="微软雅黑"/>
          <w:bCs/>
          <w:sz w:val="22"/>
          <w:szCs w:val="22"/>
        </w:rPr>
      </w:pPr>
      <w:r>
        <w:rPr>
          <w:rFonts w:hint="eastAsia" w:ascii="微软雅黑" w:hAnsi="微软雅黑" w:eastAsia="微软雅黑" w:cs="微软雅黑"/>
          <w:bCs/>
          <w:sz w:val="22"/>
          <w:szCs w:val="22"/>
        </w:rPr>
        <w:t>多维调薪矩阵设计及示例</w:t>
      </w:r>
    </w:p>
    <w:p w14:paraId="5606FD16">
      <w:pPr>
        <w:pStyle w:val="5"/>
        <w:numPr>
          <w:ilvl w:val="0"/>
          <w:numId w:val="8"/>
        </w:numPr>
        <w:snapToGrid w:val="0"/>
        <w:spacing w:line="360" w:lineRule="auto"/>
        <w:rPr>
          <w:rFonts w:ascii="微软雅黑" w:hAnsi="微软雅黑" w:eastAsia="微软雅黑" w:cs="微软雅黑"/>
          <w:bCs/>
          <w:sz w:val="22"/>
          <w:szCs w:val="22"/>
        </w:rPr>
      </w:pPr>
      <w:r>
        <w:rPr>
          <w:rFonts w:hint="eastAsia" w:ascii="微软雅黑" w:hAnsi="微软雅黑" w:eastAsia="微软雅黑" w:cs="微软雅黑"/>
          <w:bCs/>
          <w:sz w:val="22"/>
          <w:szCs w:val="22"/>
        </w:rPr>
        <w:t>结构化并兼具灵活性的短期激励设计及示例</w:t>
      </w:r>
    </w:p>
    <w:p w14:paraId="0D09D893">
      <w:pPr>
        <w:pStyle w:val="5"/>
        <w:numPr>
          <w:ilvl w:val="0"/>
          <w:numId w:val="8"/>
        </w:numPr>
        <w:snapToGrid w:val="0"/>
        <w:spacing w:line="360" w:lineRule="auto"/>
        <w:rPr>
          <w:rFonts w:hint="eastAsia" w:ascii="微软雅黑" w:hAnsi="微软雅黑" w:eastAsia="微软雅黑" w:cs="微软雅黑"/>
          <w:bCs/>
          <w:sz w:val="22"/>
          <w:szCs w:val="22"/>
          <w:lang w:val="en-US" w:eastAsia="zh-CN"/>
        </w:rPr>
      </w:pPr>
      <w:r>
        <w:rPr>
          <w:rFonts w:hint="eastAsia" w:ascii="微软雅黑" w:hAnsi="微软雅黑" w:eastAsia="微软雅黑" w:cs="微软雅黑"/>
          <w:bCs/>
          <w:sz w:val="22"/>
          <w:szCs w:val="22"/>
        </w:rPr>
        <w:t>复合化、动态化的中长期激励设计及示例</w:t>
      </w:r>
    </w:p>
    <w:p w14:paraId="39312D79">
      <w:pPr>
        <w:pStyle w:val="5"/>
        <w:numPr>
          <w:ilvl w:val="0"/>
          <w:numId w:val="8"/>
        </w:numPr>
        <w:snapToGrid w:val="0"/>
        <w:spacing w:line="360" w:lineRule="auto"/>
        <w:rPr>
          <w:rFonts w:hint="eastAsia" w:ascii="微软雅黑" w:hAnsi="微软雅黑" w:eastAsia="微软雅黑" w:cs="微软雅黑"/>
          <w:bCs/>
          <w:sz w:val="22"/>
          <w:szCs w:val="22"/>
          <w:lang w:val="en-US" w:eastAsia="zh-CN"/>
        </w:rPr>
      </w:pPr>
      <w:r>
        <w:rPr>
          <w:rFonts w:hint="eastAsia" w:ascii="微软雅黑" w:hAnsi="微软雅黑" w:eastAsia="微软雅黑" w:cs="微软雅黑"/>
          <w:bCs/>
          <w:sz w:val="22"/>
          <w:szCs w:val="22"/>
          <w:lang w:val="en-US" w:eastAsia="zh-CN"/>
        </w:rPr>
        <w:t>短期激励与中长期激励转化</w:t>
      </w:r>
    </w:p>
    <w:p w14:paraId="7AA72787">
      <w:pPr>
        <w:pStyle w:val="5"/>
        <w:numPr>
          <w:ilvl w:val="0"/>
          <w:numId w:val="9"/>
        </w:numPr>
        <w:snapToGrid w:val="0"/>
        <w:spacing w:line="276" w:lineRule="auto"/>
        <w:rPr>
          <w:rFonts w:ascii="微软雅黑" w:hAnsi="微软雅黑" w:eastAsia="微软雅黑" w:cs="微软雅黑"/>
          <w:b/>
        </w:rPr>
      </w:pPr>
      <w:r>
        <w:rPr>
          <w:rFonts w:hint="eastAsia" w:ascii="微软雅黑" w:hAnsi="微软雅黑" w:eastAsia="微软雅黑" w:cs="微软雅黑"/>
          <w:b/>
        </w:rPr>
        <w:t>人效提升举措六：强化业务部门“打粮食”、“获取分享”的效能包干机制</w:t>
      </w:r>
    </w:p>
    <w:p w14:paraId="483608BE">
      <w:pPr>
        <w:pStyle w:val="5"/>
        <w:numPr>
          <w:ilvl w:val="0"/>
          <w:numId w:val="10"/>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从“仁慈薪酬”、“效率薪酬”到“残酷薪酬”</w:t>
      </w:r>
    </w:p>
    <w:p w14:paraId="10FA2A01">
      <w:pPr>
        <w:pStyle w:val="5"/>
        <w:numPr>
          <w:ilvl w:val="0"/>
          <w:numId w:val="10"/>
        </w:numPr>
        <w:snapToGrid w:val="0"/>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效能包干设计要点及示例（事业部/业务单元/利润中心…）</w:t>
      </w:r>
    </w:p>
    <w:p w14:paraId="72B3EA3F">
      <w:pPr>
        <w:pStyle w:val="5"/>
        <w:snapToGrid w:val="0"/>
        <w:spacing w:line="276" w:lineRule="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8.人效提升案例分析与演练</w:t>
      </w:r>
    </w:p>
    <w:p w14:paraId="33A49D5B">
      <w:pPr>
        <w:pStyle w:val="5"/>
        <w:snapToGrid w:val="0"/>
        <w:spacing w:line="276" w:lineRule="auto"/>
        <w:rPr>
          <w:rFonts w:hint="eastAsia" w:ascii="微软雅黑" w:hAnsi="微软雅黑" w:eastAsia="微软雅黑" w:cs="微软雅黑"/>
          <w:b/>
          <w:bCs/>
        </w:rPr>
      </w:pPr>
      <w:r>
        <w:rPr>
          <w:rFonts w:hint="eastAsia" w:ascii="微软雅黑" w:hAnsi="微软雅黑" w:eastAsia="微软雅黑" w:cs="微软雅黑"/>
          <w:b/>
          <w:bCs/>
          <w:lang w:val="en-US" w:eastAsia="zh-CN"/>
        </w:rPr>
        <w:t>9</w:t>
      </w:r>
      <w:r>
        <w:rPr>
          <w:rFonts w:hint="eastAsia" w:ascii="微软雅黑" w:hAnsi="微软雅黑" w:eastAsia="微软雅黑" w:cs="微软雅黑"/>
          <w:b/>
          <w:bCs/>
        </w:rPr>
        <w:t>.人效提升的八个关键步骤</w:t>
      </w:r>
    </w:p>
    <w:p w14:paraId="7FF6D9C8">
      <w:pPr>
        <w:spacing w:line="360" w:lineRule="auto"/>
        <w:rPr>
          <w:rFonts w:hint="eastAsia" w:ascii="微软雅黑" w:hAnsi="微软雅黑" w:eastAsia="微软雅黑"/>
          <w:b/>
          <w:color w:val="FF5B09"/>
          <w:sz w:val="30"/>
          <w:szCs w:val="30"/>
        </w:rPr>
      </w:pPr>
    </w:p>
    <w:p w14:paraId="79244761">
      <w:pPr>
        <w:spacing w:line="360" w:lineRule="auto"/>
        <w:rPr>
          <w:rFonts w:ascii="微软雅黑" w:hAnsi="微软雅黑" w:eastAsia="微软雅黑"/>
          <w:b/>
          <w:bCs/>
          <w:sz w:val="21"/>
          <w:szCs w:val="21"/>
        </w:rPr>
      </w:pPr>
      <w:r>
        <w:rPr>
          <w:rFonts w:ascii="微软雅黑" w:hAnsi="微软雅黑" w:eastAsia="微软雅黑"/>
          <w:b/>
          <w:color w:val="FF5B09"/>
          <w:sz w:val="32"/>
          <w:szCs w:val="32"/>
        </w:rPr>
        <mc:AlternateContent>
          <mc:Choice Requires="wps">
            <w:drawing>
              <wp:anchor distT="0" distB="0" distL="114300" distR="114300" simplePos="0" relativeHeight="251659264" behindDoc="0" locked="0" layoutInCell="1" allowOverlap="1">
                <wp:simplePos x="0" y="0"/>
                <wp:positionH relativeFrom="column">
                  <wp:posOffset>3983990</wp:posOffset>
                </wp:positionH>
                <wp:positionV relativeFrom="paragraph">
                  <wp:posOffset>12700</wp:posOffset>
                </wp:positionV>
                <wp:extent cx="1684020" cy="2080260"/>
                <wp:effectExtent l="0" t="0" r="7620" b="7620"/>
                <wp:wrapNone/>
                <wp:docPr id="3" name="文本框 3"/>
                <wp:cNvGraphicFramePr/>
                <a:graphic xmlns:a="http://schemas.openxmlformats.org/drawingml/2006/main">
                  <a:graphicData uri="http://schemas.microsoft.com/office/word/2010/wordprocessingShape">
                    <wps:wsp>
                      <wps:cNvSpPr txBox="1"/>
                      <wps:spPr>
                        <a:xfrm>
                          <a:off x="0" y="0"/>
                          <a:ext cx="1684020" cy="2080260"/>
                        </a:xfrm>
                        <a:prstGeom prst="rect">
                          <a:avLst/>
                        </a:prstGeom>
                        <a:solidFill>
                          <a:srgbClr val="FFFFFF"/>
                        </a:solidFill>
                        <a:ln>
                          <a:noFill/>
                        </a:ln>
                      </wps:spPr>
                      <wps:txbx>
                        <w:txbxContent>
                          <w:p w14:paraId="2066C44A">
                            <w:r>
                              <w:drawing>
                                <wp:inline distT="0" distB="0" distL="114300" distR="114300">
                                  <wp:extent cx="1729740" cy="1687195"/>
                                  <wp:effectExtent l="0" t="0" r="762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29740" cy="1687195"/>
                                          </a:xfrm>
                                          <a:prstGeom prst="rect">
                                            <a:avLst/>
                                          </a:prstGeom>
                                          <a:noFill/>
                                          <a:ln>
                                            <a:noFill/>
                                          </a:ln>
                                        </pic:spPr>
                                      </pic:pic>
                                    </a:graphicData>
                                  </a:graphic>
                                </wp:inline>
                              </w:drawing>
                            </w:r>
                          </w:p>
                        </w:txbxContent>
                      </wps:txbx>
                      <wps:bodyPr upright="1"/>
                    </wps:wsp>
                  </a:graphicData>
                </a:graphic>
              </wp:anchor>
            </w:drawing>
          </mc:Choice>
          <mc:Fallback>
            <w:pict>
              <v:shape id="_x0000_s1026" o:spid="_x0000_s1026" o:spt="202" type="#_x0000_t202" style="position:absolute;left:0pt;margin-left:313.7pt;margin-top:1pt;height:163.8pt;width:132.6pt;z-index:251659264;mso-width-relative:page;mso-height-relative:page;" fillcolor="#FFFFFF" filled="t" stroked="f" coordsize="21600,21600" o:gfxdata="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F6v4/XAAAACQEAAA8AAAAAAAAAAQAgAAAAIgAAAGRycy9kb3ducmV2Lnht&#10;bFBLAQIUABQAAAAIAIdO4kBKcEdrwQEAAHgDAAAOAAAAAAAAAAEAIAAAACYBAABkcnMvZTJvRG9j&#10;LnhtbFBLBQYAAAAABgAGAFkBAABZBQAAAAA=&#10;">
                <v:fill on="t" focussize="0,0"/>
                <v:stroke on="f"/>
                <v:imagedata o:title=""/>
                <o:lock v:ext="edit" aspectratio="f"/>
                <v:textbox>
                  <w:txbxContent>
                    <w:p w14:paraId="2066C44A">
                      <w:r>
                        <w:drawing>
                          <wp:inline distT="0" distB="0" distL="114300" distR="114300">
                            <wp:extent cx="1729740" cy="1687195"/>
                            <wp:effectExtent l="0" t="0" r="762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29740" cy="1687195"/>
                                    </a:xfrm>
                                    <a:prstGeom prst="rect">
                                      <a:avLst/>
                                    </a:prstGeom>
                                    <a:noFill/>
                                    <a:ln>
                                      <a:noFill/>
                                    </a:ln>
                                  </pic:spPr>
                                </pic:pic>
                              </a:graphicData>
                            </a:graphic>
                          </wp:inline>
                        </w:drawing>
                      </w:r>
                    </w:p>
                  </w:txbxContent>
                </v:textbox>
              </v:shape>
            </w:pict>
          </mc:Fallback>
        </mc:AlternateContent>
      </w:r>
      <w:r>
        <w:rPr>
          <w:rFonts w:hint="eastAsia" w:ascii="微软雅黑" w:hAnsi="微软雅黑" w:eastAsia="微软雅黑"/>
          <w:b/>
          <w:color w:val="FF5B09"/>
          <w:sz w:val="30"/>
          <w:szCs w:val="30"/>
        </w:rPr>
        <w:t>导师介绍</w:t>
      </w:r>
    </w:p>
    <w:p w14:paraId="607BB800">
      <w:pPr>
        <w:spacing w:line="276" w:lineRule="auto"/>
        <w:rPr>
          <w:rFonts w:ascii="微软雅黑" w:hAnsi="微软雅黑" w:eastAsia="微软雅黑"/>
          <w:b/>
          <w:bCs/>
          <w:sz w:val="32"/>
          <w:szCs w:val="28"/>
        </w:rPr>
      </w:pPr>
      <w:r>
        <w:rPr>
          <w:rFonts w:hint="eastAsia" w:ascii="微软雅黑" w:hAnsi="微软雅黑" w:eastAsia="微软雅黑"/>
          <w:b/>
          <w:bCs/>
          <w:sz w:val="32"/>
          <w:szCs w:val="28"/>
        </w:rPr>
        <w:t>赵老师</w:t>
      </w:r>
    </w:p>
    <w:p w14:paraId="66297755">
      <w:pPr>
        <w:spacing w:line="276" w:lineRule="auto"/>
        <w:rPr>
          <w:rFonts w:ascii="微软雅黑" w:hAnsi="微软雅黑" w:eastAsia="微软雅黑"/>
          <w:szCs w:val="21"/>
        </w:rPr>
      </w:pPr>
      <w:r>
        <w:rPr>
          <w:rFonts w:hint="eastAsia" w:ascii="微软雅黑" w:hAnsi="微软雅黑" w:eastAsia="微软雅黑"/>
          <w:szCs w:val="21"/>
        </w:rPr>
        <w:t>现任某互联网公司管理顾问</w:t>
      </w:r>
    </w:p>
    <w:p w14:paraId="197A4F4B">
      <w:pPr>
        <w:spacing w:line="276" w:lineRule="auto"/>
        <w:rPr>
          <w:rFonts w:ascii="微软雅黑" w:hAnsi="微软雅黑" w:eastAsia="微软雅黑"/>
          <w:szCs w:val="21"/>
        </w:rPr>
      </w:pPr>
      <w:r>
        <w:rPr>
          <w:rFonts w:hint="eastAsia" w:ascii="微软雅黑" w:hAnsi="微软雅黑" w:eastAsia="微软雅黑"/>
          <w:szCs w:val="21"/>
        </w:rPr>
        <w:t>曾任致璞科技HRVP、金立集团HRD、华润三九薪酬绩效经理</w:t>
      </w:r>
    </w:p>
    <w:p w14:paraId="63DAD845">
      <w:pPr>
        <w:spacing w:line="276" w:lineRule="auto"/>
        <w:rPr>
          <w:rFonts w:ascii="微软雅黑" w:hAnsi="微软雅黑" w:eastAsia="微软雅黑"/>
          <w:szCs w:val="21"/>
        </w:rPr>
      </w:pPr>
      <w:r>
        <w:rPr>
          <w:rFonts w:hint="eastAsia" w:ascii="微软雅黑" w:hAnsi="微软雅黑" w:eastAsia="微软雅黑"/>
          <w:szCs w:val="21"/>
        </w:rPr>
        <w:t>平安人寿培训经理等职</w:t>
      </w:r>
    </w:p>
    <w:p w14:paraId="62E164D8">
      <w:pPr>
        <w:spacing w:line="276" w:lineRule="auto"/>
        <w:rPr>
          <w:rFonts w:ascii="微软雅黑" w:hAnsi="微软雅黑" w:eastAsia="微软雅黑"/>
          <w:szCs w:val="21"/>
        </w:rPr>
      </w:pPr>
      <w:r>
        <w:rPr>
          <w:rFonts w:ascii="微软雅黑" w:hAnsi="微软雅黑" w:eastAsia="微软雅黑"/>
          <w:szCs w:val="21"/>
        </w:rPr>
        <w:t>职业经历跨越高科技制造、医药、金融及互联网等不同行业</w:t>
      </w:r>
      <w:r>
        <w:rPr>
          <w:rFonts w:hint="eastAsia" w:ascii="微软雅黑" w:hAnsi="微软雅黑" w:eastAsia="微软雅黑"/>
          <w:szCs w:val="21"/>
        </w:rPr>
        <w:t>，</w:t>
      </w:r>
      <w:r>
        <w:rPr>
          <w:rFonts w:ascii="微软雅黑" w:hAnsi="微软雅黑" w:eastAsia="微软雅黑"/>
          <w:szCs w:val="21"/>
        </w:rPr>
        <w:t>擅长在不同的业务模式和不同的公司治理架构下，识别业务痛点整合资源，搭建战略与组织管理、全面薪酬激励、任职资格与领导力开发等人力资源核心模块，帮助组织转型和人效提升。</w:t>
      </w:r>
    </w:p>
    <w:p w14:paraId="1A4F2845">
      <w:pPr>
        <w:spacing w:line="276" w:lineRule="auto"/>
        <w:rPr>
          <w:rFonts w:ascii="微软雅黑" w:hAnsi="微软雅黑" w:eastAsia="微软雅黑"/>
          <w:b/>
          <w:bCs/>
          <w:szCs w:val="21"/>
        </w:rPr>
      </w:pPr>
      <w:r>
        <w:rPr>
          <w:rFonts w:hint="eastAsia" w:ascii="微软雅黑" w:hAnsi="微软雅黑" w:eastAsia="微软雅黑"/>
          <w:b/>
          <w:bCs/>
          <w:szCs w:val="21"/>
        </w:rPr>
        <w:t>项目经历：</w:t>
      </w:r>
      <w:r>
        <w:rPr>
          <w:rFonts w:hint="eastAsia" w:ascii="微软雅黑" w:hAnsi="微软雅黑" w:eastAsia="微软雅黑"/>
          <w:szCs w:val="21"/>
        </w:rPr>
        <w:t>华润三九全员绩效管理项目；某通讯集团职位体系与全面薪酬重塑项目、研发项目绩效快照项目；麦克韦尔公司职位与薪酬体系建设项目、全面激励项目；几米集团营销</w:t>
      </w:r>
      <w:r>
        <w:rPr>
          <w:rFonts w:ascii="微软雅黑" w:hAnsi="微软雅黑" w:eastAsia="微软雅黑"/>
          <w:szCs w:val="21"/>
        </w:rPr>
        <w:t>&amp;研发关键岗位激励项目</w:t>
      </w:r>
      <w:r>
        <w:rPr>
          <w:rFonts w:hint="eastAsia" w:ascii="微软雅黑" w:hAnsi="微软雅黑" w:eastAsia="微软雅黑"/>
          <w:b/>
          <w:bCs/>
          <w:szCs w:val="21"/>
        </w:rPr>
        <w:t>；</w:t>
      </w:r>
    </w:p>
    <w:p w14:paraId="2DCC02AE">
      <w:pPr>
        <w:spacing w:line="276" w:lineRule="auto"/>
        <w:rPr>
          <w:rFonts w:ascii="微软雅黑" w:hAnsi="微软雅黑" w:eastAsia="微软雅黑"/>
          <w:b/>
          <w:bCs/>
          <w:szCs w:val="21"/>
        </w:rPr>
      </w:pPr>
      <w:r>
        <w:rPr>
          <w:rFonts w:hint="eastAsia" w:ascii="微软雅黑" w:hAnsi="微软雅黑" w:eastAsia="微软雅黑"/>
          <w:b/>
          <w:bCs/>
          <w:szCs w:val="21"/>
        </w:rPr>
        <w:t>专业领域：</w:t>
      </w:r>
      <w:r>
        <w:rPr>
          <w:rFonts w:hint="eastAsia" w:ascii="微软雅黑" w:hAnsi="微软雅黑" w:eastAsia="微软雅黑"/>
          <w:szCs w:val="21"/>
        </w:rPr>
        <w:t>擅长组织、职位及任职资格管理、薪酬激励体系设计、股权及中长期激励方案设计、绩效管理体系设计；熟悉高科技制造、互联网、医药、金融等行业人力资源管理特点，有超过50家国企、民企及外企人力资源变革项目设计及实施的成功经验，善于寻找企业人力资源管理问题的“根本解”并制定因地制宜的实施方案。</w:t>
      </w:r>
    </w:p>
    <w:p w14:paraId="59D1A942">
      <w:pPr>
        <w:tabs>
          <w:tab w:val="left" w:pos="900"/>
        </w:tabs>
        <w:snapToGrid w:val="0"/>
        <w:spacing w:line="400" w:lineRule="exact"/>
        <w:rPr>
          <w:rFonts w:ascii="微软雅黑" w:hAnsi="微软雅黑" w:eastAsia="微软雅黑"/>
          <w:sz w:val="21"/>
          <w:szCs w:val="21"/>
        </w:rPr>
      </w:pPr>
    </w:p>
    <w:sectPr>
      <w:headerReference r:id="rId3" w:type="default"/>
      <w:pgSz w:w="11906" w:h="16838"/>
      <w:pgMar w:top="1440" w:right="1800" w:bottom="1440" w:left="1800" w:header="227"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94C6">
    <w:pPr>
      <w:pStyle w:val="4"/>
      <w:pBdr>
        <w:bottom w:val="none" w:color="auto" w:sz="0" w:space="0"/>
      </w:pBdr>
      <w:tabs>
        <w:tab w:val="left" w:pos="1620"/>
        <w:tab w:val="left" w:pos="3135"/>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485BE"/>
    <w:multiLevelType w:val="multilevel"/>
    <w:tmpl w:val="EFA485BE"/>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1">
    <w:nsid w:val="07D93BEC"/>
    <w:multiLevelType w:val="multilevel"/>
    <w:tmpl w:val="07D93BEC"/>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
    <w:nsid w:val="169F7CF7"/>
    <w:multiLevelType w:val="multilevel"/>
    <w:tmpl w:val="169F7CF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420"/>
        </w:tabs>
        <w:ind w:left="840" w:hanging="420"/>
      </w:pPr>
    </w:lvl>
    <w:lvl w:ilvl="2" w:tentative="0">
      <w:start w:val="1"/>
      <w:numFmt w:val="lowerRoman"/>
      <w:lvlText w:val="%3."/>
      <w:lvlJc w:val="right"/>
      <w:pPr>
        <w:tabs>
          <w:tab w:val="left" w:pos="-420"/>
        </w:tabs>
        <w:ind w:left="1260" w:hanging="420"/>
      </w:pPr>
    </w:lvl>
    <w:lvl w:ilvl="3" w:tentative="0">
      <w:start w:val="1"/>
      <w:numFmt w:val="decimal"/>
      <w:lvlText w:val="%4."/>
      <w:lvlJc w:val="left"/>
      <w:pPr>
        <w:tabs>
          <w:tab w:val="left" w:pos="-420"/>
        </w:tabs>
        <w:ind w:left="1680" w:hanging="420"/>
      </w:pPr>
    </w:lvl>
    <w:lvl w:ilvl="4" w:tentative="0">
      <w:start w:val="1"/>
      <w:numFmt w:val="lowerLetter"/>
      <w:lvlText w:val="%5)"/>
      <w:lvlJc w:val="left"/>
      <w:pPr>
        <w:tabs>
          <w:tab w:val="left" w:pos="-420"/>
        </w:tabs>
        <w:ind w:left="2100" w:hanging="420"/>
      </w:pPr>
    </w:lvl>
    <w:lvl w:ilvl="5" w:tentative="0">
      <w:start w:val="1"/>
      <w:numFmt w:val="lowerRoman"/>
      <w:lvlText w:val="%6."/>
      <w:lvlJc w:val="right"/>
      <w:pPr>
        <w:tabs>
          <w:tab w:val="left" w:pos="-420"/>
        </w:tabs>
        <w:ind w:left="2520" w:hanging="420"/>
      </w:pPr>
    </w:lvl>
    <w:lvl w:ilvl="6" w:tentative="0">
      <w:start w:val="1"/>
      <w:numFmt w:val="decimal"/>
      <w:lvlText w:val="%7."/>
      <w:lvlJc w:val="left"/>
      <w:pPr>
        <w:tabs>
          <w:tab w:val="left" w:pos="-420"/>
        </w:tabs>
        <w:ind w:left="2940" w:hanging="420"/>
      </w:pPr>
    </w:lvl>
    <w:lvl w:ilvl="7" w:tentative="0">
      <w:start w:val="1"/>
      <w:numFmt w:val="lowerLetter"/>
      <w:lvlText w:val="%8)"/>
      <w:lvlJc w:val="left"/>
      <w:pPr>
        <w:tabs>
          <w:tab w:val="left" w:pos="-420"/>
        </w:tabs>
        <w:ind w:left="3360" w:hanging="420"/>
      </w:pPr>
    </w:lvl>
    <w:lvl w:ilvl="8" w:tentative="0">
      <w:start w:val="1"/>
      <w:numFmt w:val="lowerRoman"/>
      <w:lvlText w:val="%9."/>
      <w:lvlJc w:val="right"/>
      <w:pPr>
        <w:tabs>
          <w:tab w:val="left" w:pos="-420"/>
        </w:tabs>
        <w:ind w:left="3780" w:hanging="420"/>
      </w:pPr>
    </w:lvl>
  </w:abstractNum>
  <w:abstractNum w:abstractNumId="3">
    <w:nsid w:val="24E35AF5"/>
    <w:multiLevelType w:val="multilevel"/>
    <w:tmpl w:val="24E35AF5"/>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4">
    <w:nsid w:val="40FCFDAB"/>
    <w:multiLevelType w:val="multilevel"/>
    <w:tmpl w:val="40FCFDAB"/>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5">
    <w:nsid w:val="43930F6F"/>
    <w:multiLevelType w:val="multilevel"/>
    <w:tmpl w:val="43930F6F"/>
    <w:lvl w:ilvl="0" w:tentative="0">
      <w:start w:val="1"/>
      <w:numFmt w:val="decimal"/>
      <w:lvlText w:val="%1)"/>
      <w:lvlJc w:val="left"/>
      <w:pPr>
        <w:ind w:left="640" w:hanging="420"/>
      </w:p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6">
    <w:nsid w:val="4B45565B"/>
    <w:multiLevelType w:val="multilevel"/>
    <w:tmpl w:val="4B45565B"/>
    <w:lvl w:ilvl="0" w:tentative="0">
      <w:start w:val="1"/>
      <w:numFmt w:val="decimal"/>
      <w:lvlText w:val="%1)"/>
      <w:lvlJc w:val="left"/>
      <w:pPr>
        <w:tabs>
          <w:tab w:val="left" w:pos="0"/>
        </w:tabs>
        <w:ind w:left="640" w:hanging="420"/>
      </w:pPr>
    </w:lvl>
    <w:lvl w:ilvl="1" w:tentative="0">
      <w:start w:val="1"/>
      <w:numFmt w:val="lowerLetter"/>
      <w:lvlText w:val="%2)"/>
      <w:lvlJc w:val="left"/>
      <w:pPr>
        <w:tabs>
          <w:tab w:val="left" w:pos="0"/>
        </w:tabs>
        <w:ind w:left="1060" w:hanging="420"/>
      </w:pPr>
    </w:lvl>
    <w:lvl w:ilvl="2" w:tentative="0">
      <w:start w:val="1"/>
      <w:numFmt w:val="lowerRoman"/>
      <w:lvlText w:val="%3."/>
      <w:lvlJc w:val="right"/>
      <w:pPr>
        <w:tabs>
          <w:tab w:val="left" w:pos="0"/>
        </w:tabs>
        <w:ind w:left="1480" w:hanging="420"/>
      </w:pPr>
    </w:lvl>
    <w:lvl w:ilvl="3" w:tentative="0">
      <w:start w:val="1"/>
      <w:numFmt w:val="decimal"/>
      <w:lvlText w:val="%4."/>
      <w:lvlJc w:val="left"/>
      <w:pPr>
        <w:tabs>
          <w:tab w:val="left" w:pos="0"/>
        </w:tabs>
        <w:ind w:left="1900" w:hanging="420"/>
      </w:pPr>
    </w:lvl>
    <w:lvl w:ilvl="4" w:tentative="0">
      <w:start w:val="1"/>
      <w:numFmt w:val="lowerLetter"/>
      <w:lvlText w:val="%5)"/>
      <w:lvlJc w:val="left"/>
      <w:pPr>
        <w:tabs>
          <w:tab w:val="left" w:pos="0"/>
        </w:tabs>
        <w:ind w:left="2320" w:hanging="420"/>
      </w:pPr>
    </w:lvl>
    <w:lvl w:ilvl="5" w:tentative="0">
      <w:start w:val="1"/>
      <w:numFmt w:val="lowerRoman"/>
      <w:lvlText w:val="%6."/>
      <w:lvlJc w:val="right"/>
      <w:pPr>
        <w:tabs>
          <w:tab w:val="left" w:pos="0"/>
        </w:tabs>
        <w:ind w:left="2740" w:hanging="420"/>
      </w:pPr>
    </w:lvl>
    <w:lvl w:ilvl="6" w:tentative="0">
      <w:start w:val="1"/>
      <w:numFmt w:val="decimal"/>
      <w:lvlText w:val="%7."/>
      <w:lvlJc w:val="left"/>
      <w:pPr>
        <w:tabs>
          <w:tab w:val="left" w:pos="0"/>
        </w:tabs>
        <w:ind w:left="3160" w:hanging="420"/>
      </w:pPr>
    </w:lvl>
    <w:lvl w:ilvl="7" w:tentative="0">
      <w:start w:val="1"/>
      <w:numFmt w:val="lowerLetter"/>
      <w:lvlText w:val="%8)"/>
      <w:lvlJc w:val="left"/>
      <w:pPr>
        <w:tabs>
          <w:tab w:val="left" w:pos="0"/>
        </w:tabs>
        <w:ind w:left="3580" w:hanging="420"/>
      </w:pPr>
    </w:lvl>
    <w:lvl w:ilvl="8" w:tentative="0">
      <w:start w:val="1"/>
      <w:numFmt w:val="lowerRoman"/>
      <w:lvlText w:val="%9."/>
      <w:lvlJc w:val="right"/>
      <w:pPr>
        <w:tabs>
          <w:tab w:val="left" w:pos="0"/>
        </w:tabs>
        <w:ind w:left="4000" w:hanging="420"/>
      </w:pPr>
    </w:lvl>
  </w:abstractNum>
  <w:abstractNum w:abstractNumId="7">
    <w:nsid w:val="4E5F61AE"/>
    <w:multiLevelType w:val="multilevel"/>
    <w:tmpl w:val="4E5F6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B46687"/>
    <w:multiLevelType w:val="singleLevel"/>
    <w:tmpl w:val="66B46687"/>
    <w:lvl w:ilvl="0" w:tentative="0">
      <w:start w:val="1"/>
      <w:numFmt w:val="decimal"/>
      <w:lvlText w:val="%1."/>
      <w:lvlJc w:val="left"/>
      <w:pPr>
        <w:ind w:left="425" w:hanging="425"/>
      </w:pPr>
      <w:rPr>
        <w:rFonts w:hint="default"/>
      </w:rPr>
    </w:lvl>
  </w:abstractNum>
  <w:abstractNum w:abstractNumId="9">
    <w:nsid w:val="7AA6A7D8"/>
    <w:multiLevelType w:val="singleLevel"/>
    <w:tmpl w:val="7AA6A7D8"/>
    <w:lvl w:ilvl="0" w:tentative="0">
      <w:start w:val="7"/>
      <w:numFmt w:val="decimal"/>
      <w:suff w:val="space"/>
      <w:lvlText w:val="%1."/>
      <w:lvlJc w:val="left"/>
    </w:lvl>
  </w:abstractNum>
  <w:num w:numId="1">
    <w:abstractNumId w:val="8"/>
  </w:num>
  <w:num w:numId="2">
    <w:abstractNumId w:val="7"/>
  </w:num>
  <w:num w:numId="3">
    <w:abstractNumId w:val="2"/>
  </w:num>
  <w:num w:numId="4">
    <w:abstractNumId w:val="6"/>
  </w:num>
  <w:num w:numId="5">
    <w:abstractNumId w:val="4"/>
  </w:num>
  <w:num w:numId="6">
    <w:abstractNumId w:val="0"/>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ZjM0NmUwMWNiMjJhYzcwOGY0NDIyMjE5NTNhNmUifQ=="/>
  </w:docVars>
  <w:rsids>
    <w:rsidRoot w:val="00CD4401"/>
    <w:rsid w:val="000025B2"/>
    <w:rsid w:val="000028E1"/>
    <w:rsid w:val="00012B8D"/>
    <w:rsid w:val="000155DF"/>
    <w:rsid w:val="0001631D"/>
    <w:rsid w:val="00022FAF"/>
    <w:rsid w:val="0002585B"/>
    <w:rsid w:val="0002626C"/>
    <w:rsid w:val="00032309"/>
    <w:rsid w:val="000323CC"/>
    <w:rsid w:val="00034AA7"/>
    <w:rsid w:val="000351AA"/>
    <w:rsid w:val="00037182"/>
    <w:rsid w:val="00041326"/>
    <w:rsid w:val="000428C5"/>
    <w:rsid w:val="00042B31"/>
    <w:rsid w:val="000444F9"/>
    <w:rsid w:val="000529B5"/>
    <w:rsid w:val="00054557"/>
    <w:rsid w:val="000614EE"/>
    <w:rsid w:val="00064B26"/>
    <w:rsid w:val="00067F3F"/>
    <w:rsid w:val="00070FD6"/>
    <w:rsid w:val="00071C6C"/>
    <w:rsid w:val="000723F0"/>
    <w:rsid w:val="00074E1F"/>
    <w:rsid w:val="000804DA"/>
    <w:rsid w:val="000847C9"/>
    <w:rsid w:val="0009155D"/>
    <w:rsid w:val="000A2887"/>
    <w:rsid w:val="000A3F7F"/>
    <w:rsid w:val="000A6127"/>
    <w:rsid w:val="000A628A"/>
    <w:rsid w:val="000B4A44"/>
    <w:rsid w:val="000B54B4"/>
    <w:rsid w:val="000B64DC"/>
    <w:rsid w:val="000B7390"/>
    <w:rsid w:val="000C2A08"/>
    <w:rsid w:val="000C3B25"/>
    <w:rsid w:val="000D3339"/>
    <w:rsid w:val="000D4933"/>
    <w:rsid w:val="000E1F35"/>
    <w:rsid w:val="000E5103"/>
    <w:rsid w:val="000F2B71"/>
    <w:rsid w:val="000F361C"/>
    <w:rsid w:val="000F7883"/>
    <w:rsid w:val="001019D9"/>
    <w:rsid w:val="00110E80"/>
    <w:rsid w:val="00112440"/>
    <w:rsid w:val="0012206E"/>
    <w:rsid w:val="00123680"/>
    <w:rsid w:val="00123777"/>
    <w:rsid w:val="001328CB"/>
    <w:rsid w:val="0013731A"/>
    <w:rsid w:val="00137E52"/>
    <w:rsid w:val="00137F37"/>
    <w:rsid w:val="00142810"/>
    <w:rsid w:val="00142B43"/>
    <w:rsid w:val="00144487"/>
    <w:rsid w:val="0015194A"/>
    <w:rsid w:val="00162CCE"/>
    <w:rsid w:val="001634B2"/>
    <w:rsid w:val="00171109"/>
    <w:rsid w:val="0017240E"/>
    <w:rsid w:val="001724E0"/>
    <w:rsid w:val="001727BA"/>
    <w:rsid w:val="001748D0"/>
    <w:rsid w:val="00183BE2"/>
    <w:rsid w:val="00184AB9"/>
    <w:rsid w:val="001A119D"/>
    <w:rsid w:val="001B22C8"/>
    <w:rsid w:val="001B56F3"/>
    <w:rsid w:val="001B768E"/>
    <w:rsid w:val="001C2E5C"/>
    <w:rsid w:val="001C3B7A"/>
    <w:rsid w:val="001C3D4C"/>
    <w:rsid w:val="001C481B"/>
    <w:rsid w:val="001C7A40"/>
    <w:rsid w:val="001D6596"/>
    <w:rsid w:val="001D7786"/>
    <w:rsid w:val="001E32D2"/>
    <w:rsid w:val="001E71A1"/>
    <w:rsid w:val="001F5E9D"/>
    <w:rsid w:val="00200B08"/>
    <w:rsid w:val="00203CD4"/>
    <w:rsid w:val="002153F5"/>
    <w:rsid w:val="00217A53"/>
    <w:rsid w:val="00221B0D"/>
    <w:rsid w:val="00222A65"/>
    <w:rsid w:val="00225959"/>
    <w:rsid w:val="00226B29"/>
    <w:rsid w:val="00232062"/>
    <w:rsid w:val="00233957"/>
    <w:rsid w:val="00235D30"/>
    <w:rsid w:val="00244AD4"/>
    <w:rsid w:val="00245B06"/>
    <w:rsid w:val="00251DB7"/>
    <w:rsid w:val="002560B6"/>
    <w:rsid w:val="00257847"/>
    <w:rsid w:val="00260F6B"/>
    <w:rsid w:val="002621C5"/>
    <w:rsid w:val="00262CDC"/>
    <w:rsid w:val="00264707"/>
    <w:rsid w:val="00267602"/>
    <w:rsid w:val="002903A3"/>
    <w:rsid w:val="002908FE"/>
    <w:rsid w:val="002933EB"/>
    <w:rsid w:val="00296E96"/>
    <w:rsid w:val="0029773E"/>
    <w:rsid w:val="002A4766"/>
    <w:rsid w:val="002B1432"/>
    <w:rsid w:val="002B40CF"/>
    <w:rsid w:val="002C13AC"/>
    <w:rsid w:val="002C32BA"/>
    <w:rsid w:val="002C6278"/>
    <w:rsid w:val="002C6D54"/>
    <w:rsid w:val="002C7BB6"/>
    <w:rsid w:val="002D38E9"/>
    <w:rsid w:val="002D470E"/>
    <w:rsid w:val="002D58C6"/>
    <w:rsid w:val="002D7788"/>
    <w:rsid w:val="002E3177"/>
    <w:rsid w:val="002E3D81"/>
    <w:rsid w:val="002E5EB7"/>
    <w:rsid w:val="002E77FD"/>
    <w:rsid w:val="002F0711"/>
    <w:rsid w:val="002F1AC3"/>
    <w:rsid w:val="002F2E71"/>
    <w:rsid w:val="002F5972"/>
    <w:rsid w:val="002F5AE4"/>
    <w:rsid w:val="002F6B66"/>
    <w:rsid w:val="003003CA"/>
    <w:rsid w:val="00313069"/>
    <w:rsid w:val="00320316"/>
    <w:rsid w:val="00322C52"/>
    <w:rsid w:val="003233C0"/>
    <w:rsid w:val="00324DEA"/>
    <w:rsid w:val="003318D6"/>
    <w:rsid w:val="0034242F"/>
    <w:rsid w:val="00345E39"/>
    <w:rsid w:val="00346E9F"/>
    <w:rsid w:val="0034719C"/>
    <w:rsid w:val="00351184"/>
    <w:rsid w:val="00364E0E"/>
    <w:rsid w:val="00366951"/>
    <w:rsid w:val="00367B4A"/>
    <w:rsid w:val="00372314"/>
    <w:rsid w:val="00373060"/>
    <w:rsid w:val="00377547"/>
    <w:rsid w:val="00377919"/>
    <w:rsid w:val="003822C2"/>
    <w:rsid w:val="00383F19"/>
    <w:rsid w:val="00392950"/>
    <w:rsid w:val="003938F5"/>
    <w:rsid w:val="003954FA"/>
    <w:rsid w:val="003973F2"/>
    <w:rsid w:val="00397F7A"/>
    <w:rsid w:val="003A092A"/>
    <w:rsid w:val="003A2777"/>
    <w:rsid w:val="003A7CD4"/>
    <w:rsid w:val="003B20CE"/>
    <w:rsid w:val="003B2C6D"/>
    <w:rsid w:val="003C14A5"/>
    <w:rsid w:val="003D17A9"/>
    <w:rsid w:val="003D17BC"/>
    <w:rsid w:val="003D468B"/>
    <w:rsid w:val="003D652E"/>
    <w:rsid w:val="003D6DE7"/>
    <w:rsid w:val="003E17B9"/>
    <w:rsid w:val="003E2687"/>
    <w:rsid w:val="003E605E"/>
    <w:rsid w:val="003E739C"/>
    <w:rsid w:val="003F0A62"/>
    <w:rsid w:val="003F43E8"/>
    <w:rsid w:val="004009DB"/>
    <w:rsid w:val="00400B86"/>
    <w:rsid w:val="00400C16"/>
    <w:rsid w:val="004049AF"/>
    <w:rsid w:val="004068FE"/>
    <w:rsid w:val="00406EED"/>
    <w:rsid w:val="00407286"/>
    <w:rsid w:val="00412CA9"/>
    <w:rsid w:val="00415DC2"/>
    <w:rsid w:val="00420021"/>
    <w:rsid w:val="00420236"/>
    <w:rsid w:val="00421FB0"/>
    <w:rsid w:val="004321DD"/>
    <w:rsid w:val="0043519E"/>
    <w:rsid w:val="00450F37"/>
    <w:rsid w:val="0046439F"/>
    <w:rsid w:val="004655D4"/>
    <w:rsid w:val="00471E92"/>
    <w:rsid w:val="00473899"/>
    <w:rsid w:val="00482C01"/>
    <w:rsid w:val="00484F45"/>
    <w:rsid w:val="00486879"/>
    <w:rsid w:val="00487168"/>
    <w:rsid w:val="00490A9B"/>
    <w:rsid w:val="00491DAC"/>
    <w:rsid w:val="00492898"/>
    <w:rsid w:val="00494E6C"/>
    <w:rsid w:val="00495D35"/>
    <w:rsid w:val="004A4D63"/>
    <w:rsid w:val="004A68E8"/>
    <w:rsid w:val="004B3725"/>
    <w:rsid w:val="004C043D"/>
    <w:rsid w:val="004C75A4"/>
    <w:rsid w:val="004D1ED5"/>
    <w:rsid w:val="004D70FA"/>
    <w:rsid w:val="004E0A82"/>
    <w:rsid w:val="004E1AA4"/>
    <w:rsid w:val="004E42BA"/>
    <w:rsid w:val="004F2270"/>
    <w:rsid w:val="004F53B8"/>
    <w:rsid w:val="005074BB"/>
    <w:rsid w:val="0050793E"/>
    <w:rsid w:val="00511939"/>
    <w:rsid w:val="005127E7"/>
    <w:rsid w:val="00515C38"/>
    <w:rsid w:val="00526263"/>
    <w:rsid w:val="0052718C"/>
    <w:rsid w:val="00534941"/>
    <w:rsid w:val="00535331"/>
    <w:rsid w:val="00542069"/>
    <w:rsid w:val="00542731"/>
    <w:rsid w:val="005446DE"/>
    <w:rsid w:val="0054514C"/>
    <w:rsid w:val="005461C1"/>
    <w:rsid w:val="00546F50"/>
    <w:rsid w:val="005507CB"/>
    <w:rsid w:val="00552789"/>
    <w:rsid w:val="00552CC1"/>
    <w:rsid w:val="00552CC2"/>
    <w:rsid w:val="005609A3"/>
    <w:rsid w:val="00567173"/>
    <w:rsid w:val="00567AA7"/>
    <w:rsid w:val="00570822"/>
    <w:rsid w:val="0057218C"/>
    <w:rsid w:val="00572DD2"/>
    <w:rsid w:val="00573939"/>
    <w:rsid w:val="00582EEF"/>
    <w:rsid w:val="00584365"/>
    <w:rsid w:val="00586577"/>
    <w:rsid w:val="00591A56"/>
    <w:rsid w:val="0059224F"/>
    <w:rsid w:val="00597784"/>
    <w:rsid w:val="00597FB4"/>
    <w:rsid w:val="005A17A2"/>
    <w:rsid w:val="005A4CF7"/>
    <w:rsid w:val="005B129B"/>
    <w:rsid w:val="005B1348"/>
    <w:rsid w:val="005B2247"/>
    <w:rsid w:val="005B22D4"/>
    <w:rsid w:val="005C57BF"/>
    <w:rsid w:val="005D78E9"/>
    <w:rsid w:val="005D79CC"/>
    <w:rsid w:val="005E15FB"/>
    <w:rsid w:val="005E6D65"/>
    <w:rsid w:val="005E7A91"/>
    <w:rsid w:val="005F2A21"/>
    <w:rsid w:val="00602E10"/>
    <w:rsid w:val="00612159"/>
    <w:rsid w:val="00616C75"/>
    <w:rsid w:val="00622CDC"/>
    <w:rsid w:val="00623353"/>
    <w:rsid w:val="006250D9"/>
    <w:rsid w:val="0063319D"/>
    <w:rsid w:val="00633C26"/>
    <w:rsid w:val="00635F11"/>
    <w:rsid w:val="006402B6"/>
    <w:rsid w:val="006467FB"/>
    <w:rsid w:val="00670072"/>
    <w:rsid w:val="00671463"/>
    <w:rsid w:val="00674A11"/>
    <w:rsid w:val="00680287"/>
    <w:rsid w:val="006805C6"/>
    <w:rsid w:val="0068631D"/>
    <w:rsid w:val="00690F55"/>
    <w:rsid w:val="00692C53"/>
    <w:rsid w:val="006934D1"/>
    <w:rsid w:val="00694A92"/>
    <w:rsid w:val="006964E9"/>
    <w:rsid w:val="00696E8E"/>
    <w:rsid w:val="00697FB9"/>
    <w:rsid w:val="006A203C"/>
    <w:rsid w:val="006A6005"/>
    <w:rsid w:val="006B2B19"/>
    <w:rsid w:val="006B413B"/>
    <w:rsid w:val="006B4A32"/>
    <w:rsid w:val="006C013B"/>
    <w:rsid w:val="006C2369"/>
    <w:rsid w:val="006C3E93"/>
    <w:rsid w:val="006C4B49"/>
    <w:rsid w:val="006D4BA4"/>
    <w:rsid w:val="006E1506"/>
    <w:rsid w:val="006E2578"/>
    <w:rsid w:val="006E2FC3"/>
    <w:rsid w:val="006F00D0"/>
    <w:rsid w:val="006F2D2F"/>
    <w:rsid w:val="006F7596"/>
    <w:rsid w:val="00700FBB"/>
    <w:rsid w:val="0070162D"/>
    <w:rsid w:val="00701B52"/>
    <w:rsid w:val="0070779B"/>
    <w:rsid w:val="00707E53"/>
    <w:rsid w:val="007142B1"/>
    <w:rsid w:val="007147A4"/>
    <w:rsid w:val="0073713B"/>
    <w:rsid w:val="00740659"/>
    <w:rsid w:val="00742BEC"/>
    <w:rsid w:val="00747C9E"/>
    <w:rsid w:val="00750158"/>
    <w:rsid w:val="00752578"/>
    <w:rsid w:val="00766815"/>
    <w:rsid w:val="00771BB1"/>
    <w:rsid w:val="00774FB0"/>
    <w:rsid w:val="007916E3"/>
    <w:rsid w:val="00791C4E"/>
    <w:rsid w:val="00797706"/>
    <w:rsid w:val="007A4192"/>
    <w:rsid w:val="007A7F35"/>
    <w:rsid w:val="007B0D28"/>
    <w:rsid w:val="007B2CBF"/>
    <w:rsid w:val="007B4E5C"/>
    <w:rsid w:val="007B5014"/>
    <w:rsid w:val="007C34A7"/>
    <w:rsid w:val="007C5418"/>
    <w:rsid w:val="007D2920"/>
    <w:rsid w:val="007D2CE1"/>
    <w:rsid w:val="007D3DED"/>
    <w:rsid w:val="007D51B2"/>
    <w:rsid w:val="007E1984"/>
    <w:rsid w:val="007F47FF"/>
    <w:rsid w:val="007F4ACA"/>
    <w:rsid w:val="007F5B26"/>
    <w:rsid w:val="007F6DB8"/>
    <w:rsid w:val="0080458F"/>
    <w:rsid w:val="008105A4"/>
    <w:rsid w:val="00810ED0"/>
    <w:rsid w:val="00811262"/>
    <w:rsid w:val="00815474"/>
    <w:rsid w:val="00832742"/>
    <w:rsid w:val="008333D0"/>
    <w:rsid w:val="00835270"/>
    <w:rsid w:val="00835F6B"/>
    <w:rsid w:val="00837E67"/>
    <w:rsid w:val="00846038"/>
    <w:rsid w:val="00852213"/>
    <w:rsid w:val="00860DF0"/>
    <w:rsid w:val="00871EE3"/>
    <w:rsid w:val="0087282C"/>
    <w:rsid w:val="00872B28"/>
    <w:rsid w:val="00875DF1"/>
    <w:rsid w:val="00876911"/>
    <w:rsid w:val="00880489"/>
    <w:rsid w:val="00881564"/>
    <w:rsid w:val="00882597"/>
    <w:rsid w:val="00885ADE"/>
    <w:rsid w:val="00891673"/>
    <w:rsid w:val="00896857"/>
    <w:rsid w:val="008A404F"/>
    <w:rsid w:val="008A4F17"/>
    <w:rsid w:val="008B00CB"/>
    <w:rsid w:val="008B5AD4"/>
    <w:rsid w:val="008C26AF"/>
    <w:rsid w:val="008C47CA"/>
    <w:rsid w:val="008D385C"/>
    <w:rsid w:val="008D4011"/>
    <w:rsid w:val="008E3041"/>
    <w:rsid w:val="008E7F23"/>
    <w:rsid w:val="008F59A3"/>
    <w:rsid w:val="008F5CE3"/>
    <w:rsid w:val="00901C6D"/>
    <w:rsid w:val="009055D0"/>
    <w:rsid w:val="00912DF2"/>
    <w:rsid w:val="009158A8"/>
    <w:rsid w:val="0092417F"/>
    <w:rsid w:val="00926B16"/>
    <w:rsid w:val="00930716"/>
    <w:rsid w:val="00931BF8"/>
    <w:rsid w:val="00931F87"/>
    <w:rsid w:val="00931FF6"/>
    <w:rsid w:val="00934285"/>
    <w:rsid w:val="00945D64"/>
    <w:rsid w:val="00945F4C"/>
    <w:rsid w:val="00950559"/>
    <w:rsid w:val="009540B9"/>
    <w:rsid w:val="00955B18"/>
    <w:rsid w:val="00955E50"/>
    <w:rsid w:val="0096150E"/>
    <w:rsid w:val="00965045"/>
    <w:rsid w:val="009657E1"/>
    <w:rsid w:val="00971D60"/>
    <w:rsid w:val="0098388D"/>
    <w:rsid w:val="009875EA"/>
    <w:rsid w:val="00995AE0"/>
    <w:rsid w:val="00995D76"/>
    <w:rsid w:val="00997DD6"/>
    <w:rsid w:val="009A1C0E"/>
    <w:rsid w:val="009A1FA2"/>
    <w:rsid w:val="009A4EDF"/>
    <w:rsid w:val="009C1ECA"/>
    <w:rsid w:val="009C42D3"/>
    <w:rsid w:val="009D51A0"/>
    <w:rsid w:val="009E0263"/>
    <w:rsid w:val="009E5E82"/>
    <w:rsid w:val="009E7C8D"/>
    <w:rsid w:val="009F189D"/>
    <w:rsid w:val="009F1E8C"/>
    <w:rsid w:val="009F312D"/>
    <w:rsid w:val="009F6C2C"/>
    <w:rsid w:val="00A00453"/>
    <w:rsid w:val="00A05979"/>
    <w:rsid w:val="00A1638D"/>
    <w:rsid w:val="00A175CA"/>
    <w:rsid w:val="00A17D77"/>
    <w:rsid w:val="00A20A4C"/>
    <w:rsid w:val="00A24213"/>
    <w:rsid w:val="00A470BA"/>
    <w:rsid w:val="00A52088"/>
    <w:rsid w:val="00A5303C"/>
    <w:rsid w:val="00A54F15"/>
    <w:rsid w:val="00A56913"/>
    <w:rsid w:val="00A6196B"/>
    <w:rsid w:val="00A61B5F"/>
    <w:rsid w:val="00A630DA"/>
    <w:rsid w:val="00A63E9B"/>
    <w:rsid w:val="00A64509"/>
    <w:rsid w:val="00A65627"/>
    <w:rsid w:val="00A66296"/>
    <w:rsid w:val="00A749C5"/>
    <w:rsid w:val="00A861BF"/>
    <w:rsid w:val="00A869BA"/>
    <w:rsid w:val="00A86A93"/>
    <w:rsid w:val="00A91227"/>
    <w:rsid w:val="00AA7A8C"/>
    <w:rsid w:val="00AC0201"/>
    <w:rsid w:val="00AC646F"/>
    <w:rsid w:val="00AD15FC"/>
    <w:rsid w:val="00AD4785"/>
    <w:rsid w:val="00AE37BE"/>
    <w:rsid w:val="00AF370E"/>
    <w:rsid w:val="00AF3FC4"/>
    <w:rsid w:val="00B01AFF"/>
    <w:rsid w:val="00B01B34"/>
    <w:rsid w:val="00B02AB8"/>
    <w:rsid w:val="00B07B3F"/>
    <w:rsid w:val="00B151A5"/>
    <w:rsid w:val="00B212C1"/>
    <w:rsid w:val="00B32462"/>
    <w:rsid w:val="00B33B7A"/>
    <w:rsid w:val="00B404B4"/>
    <w:rsid w:val="00B42E1A"/>
    <w:rsid w:val="00B4337C"/>
    <w:rsid w:val="00B45659"/>
    <w:rsid w:val="00B51883"/>
    <w:rsid w:val="00B51D06"/>
    <w:rsid w:val="00B55E79"/>
    <w:rsid w:val="00B6070A"/>
    <w:rsid w:val="00B61B49"/>
    <w:rsid w:val="00B73546"/>
    <w:rsid w:val="00B80C4D"/>
    <w:rsid w:val="00B8299E"/>
    <w:rsid w:val="00B841AD"/>
    <w:rsid w:val="00B93AEE"/>
    <w:rsid w:val="00B944E9"/>
    <w:rsid w:val="00B94E68"/>
    <w:rsid w:val="00B954AE"/>
    <w:rsid w:val="00B96D40"/>
    <w:rsid w:val="00BA51E5"/>
    <w:rsid w:val="00BB61BC"/>
    <w:rsid w:val="00BC0DB6"/>
    <w:rsid w:val="00BC5E9F"/>
    <w:rsid w:val="00BC79D6"/>
    <w:rsid w:val="00BD4488"/>
    <w:rsid w:val="00BE1FBF"/>
    <w:rsid w:val="00BE3F78"/>
    <w:rsid w:val="00BF76B3"/>
    <w:rsid w:val="00C042E9"/>
    <w:rsid w:val="00C05495"/>
    <w:rsid w:val="00C13F06"/>
    <w:rsid w:val="00C212BF"/>
    <w:rsid w:val="00C25962"/>
    <w:rsid w:val="00C25D43"/>
    <w:rsid w:val="00C30FAB"/>
    <w:rsid w:val="00C53E67"/>
    <w:rsid w:val="00C53F67"/>
    <w:rsid w:val="00C53F99"/>
    <w:rsid w:val="00C5506A"/>
    <w:rsid w:val="00C64050"/>
    <w:rsid w:val="00C64D2C"/>
    <w:rsid w:val="00C74786"/>
    <w:rsid w:val="00C83722"/>
    <w:rsid w:val="00C97962"/>
    <w:rsid w:val="00CB09C9"/>
    <w:rsid w:val="00CB18AC"/>
    <w:rsid w:val="00CC5EB0"/>
    <w:rsid w:val="00CC6E1D"/>
    <w:rsid w:val="00CD15DA"/>
    <w:rsid w:val="00CD1709"/>
    <w:rsid w:val="00CD2785"/>
    <w:rsid w:val="00CD4401"/>
    <w:rsid w:val="00CE223F"/>
    <w:rsid w:val="00CE25A9"/>
    <w:rsid w:val="00CF2B06"/>
    <w:rsid w:val="00CF3E54"/>
    <w:rsid w:val="00CF6A9B"/>
    <w:rsid w:val="00CF7079"/>
    <w:rsid w:val="00D011E1"/>
    <w:rsid w:val="00D01707"/>
    <w:rsid w:val="00D04B49"/>
    <w:rsid w:val="00D06B30"/>
    <w:rsid w:val="00D07D9A"/>
    <w:rsid w:val="00D164F5"/>
    <w:rsid w:val="00D20CAF"/>
    <w:rsid w:val="00D25593"/>
    <w:rsid w:val="00D31915"/>
    <w:rsid w:val="00D34098"/>
    <w:rsid w:val="00D34934"/>
    <w:rsid w:val="00D4382D"/>
    <w:rsid w:val="00D43C1C"/>
    <w:rsid w:val="00D5340D"/>
    <w:rsid w:val="00D53C64"/>
    <w:rsid w:val="00D547AA"/>
    <w:rsid w:val="00D54B24"/>
    <w:rsid w:val="00D60127"/>
    <w:rsid w:val="00D61B9D"/>
    <w:rsid w:val="00D62D42"/>
    <w:rsid w:val="00D67B82"/>
    <w:rsid w:val="00D70D49"/>
    <w:rsid w:val="00D7144F"/>
    <w:rsid w:val="00D82F2B"/>
    <w:rsid w:val="00D830D9"/>
    <w:rsid w:val="00DA1A05"/>
    <w:rsid w:val="00DB1BEE"/>
    <w:rsid w:val="00DC10BE"/>
    <w:rsid w:val="00DE0DEC"/>
    <w:rsid w:val="00DE5277"/>
    <w:rsid w:val="00DE6524"/>
    <w:rsid w:val="00E001D8"/>
    <w:rsid w:val="00E101E9"/>
    <w:rsid w:val="00E11BEE"/>
    <w:rsid w:val="00E13BB8"/>
    <w:rsid w:val="00E14975"/>
    <w:rsid w:val="00E202CF"/>
    <w:rsid w:val="00E2200D"/>
    <w:rsid w:val="00E22134"/>
    <w:rsid w:val="00E4047B"/>
    <w:rsid w:val="00E41E52"/>
    <w:rsid w:val="00E50135"/>
    <w:rsid w:val="00E50D4D"/>
    <w:rsid w:val="00E54558"/>
    <w:rsid w:val="00E56707"/>
    <w:rsid w:val="00E62D76"/>
    <w:rsid w:val="00E63E59"/>
    <w:rsid w:val="00E65FA3"/>
    <w:rsid w:val="00E66359"/>
    <w:rsid w:val="00E74585"/>
    <w:rsid w:val="00E84958"/>
    <w:rsid w:val="00E85568"/>
    <w:rsid w:val="00E91C9C"/>
    <w:rsid w:val="00E93840"/>
    <w:rsid w:val="00E93C59"/>
    <w:rsid w:val="00E94E89"/>
    <w:rsid w:val="00E96C7B"/>
    <w:rsid w:val="00EA2CC8"/>
    <w:rsid w:val="00EA70E1"/>
    <w:rsid w:val="00EB08CE"/>
    <w:rsid w:val="00EC443D"/>
    <w:rsid w:val="00EC5435"/>
    <w:rsid w:val="00EC5E81"/>
    <w:rsid w:val="00ED5A09"/>
    <w:rsid w:val="00EE7B31"/>
    <w:rsid w:val="00EF1431"/>
    <w:rsid w:val="00EF186F"/>
    <w:rsid w:val="00EF1CAC"/>
    <w:rsid w:val="00EF24EB"/>
    <w:rsid w:val="00EF58DD"/>
    <w:rsid w:val="00F00341"/>
    <w:rsid w:val="00F05FD2"/>
    <w:rsid w:val="00F105DD"/>
    <w:rsid w:val="00F11D91"/>
    <w:rsid w:val="00F125CC"/>
    <w:rsid w:val="00F152EA"/>
    <w:rsid w:val="00F168F5"/>
    <w:rsid w:val="00F177D8"/>
    <w:rsid w:val="00F24BB5"/>
    <w:rsid w:val="00F27B0F"/>
    <w:rsid w:val="00F3690F"/>
    <w:rsid w:val="00F45D64"/>
    <w:rsid w:val="00F51B0C"/>
    <w:rsid w:val="00F566DB"/>
    <w:rsid w:val="00F57B07"/>
    <w:rsid w:val="00F60834"/>
    <w:rsid w:val="00F60B3A"/>
    <w:rsid w:val="00F60FB5"/>
    <w:rsid w:val="00F63F78"/>
    <w:rsid w:val="00F66945"/>
    <w:rsid w:val="00F7240D"/>
    <w:rsid w:val="00F863C8"/>
    <w:rsid w:val="00F902C1"/>
    <w:rsid w:val="00F9421F"/>
    <w:rsid w:val="00F9783F"/>
    <w:rsid w:val="00FA1A41"/>
    <w:rsid w:val="00FA23A3"/>
    <w:rsid w:val="00FA3B17"/>
    <w:rsid w:val="00FB10CE"/>
    <w:rsid w:val="00FB62D9"/>
    <w:rsid w:val="00FB7CF0"/>
    <w:rsid w:val="00FC272D"/>
    <w:rsid w:val="00FD5656"/>
    <w:rsid w:val="00FE2444"/>
    <w:rsid w:val="00FE3895"/>
    <w:rsid w:val="00FE6B21"/>
    <w:rsid w:val="00FF00BB"/>
    <w:rsid w:val="00FF63A0"/>
    <w:rsid w:val="023C65DC"/>
    <w:rsid w:val="02B84DDD"/>
    <w:rsid w:val="09D771D4"/>
    <w:rsid w:val="0E8536A2"/>
    <w:rsid w:val="0EBA6966"/>
    <w:rsid w:val="0F12423D"/>
    <w:rsid w:val="113E5D8A"/>
    <w:rsid w:val="121C256F"/>
    <w:rsid w:val="153D4CD7"/>
    <w:rsid w:val="2445497C"/>
    <w:rsid w:val="259A4BE2"/>
    <w:rsid w:val="25F82554"/>
    <w:rsid w:val="29171EEA"/>
    <w:rsid w:val="2D8E435C"/>
    <w:rsid w:val="335F5A08"/>
    <w:rsid w:val="340A5620"/>
    <w:rsid w:val="346D120F"/>
    <w:rsid w:val="3A6E4664"/>
    <w:rsid w:val="3D54230E"/>
    <w:rsid w:val="43145B93"/>
    <w:rsid w:val="5177009B"/>
    <w:rsid w:val="52E55A8A"/>
    <w:rsid w:val="5A902780"/>
    <w:rsid w:val="5FA25B9D"/>
    <w:rsid w:val="639A641D"/>
    <w:rsid w:val="64212D67"/>
    <w:rsid w:val="6A1F142A"/>
    <w:rsid w:val="72F00CF9"/>
    <w:rsid w:val="73640353"/>
    <w:rsid w:val="74842EFD"/>
    <w:rsid w:val="77580CD2"/>
    <w:rsid w:val="7C9A3CD7"/>
    <w:rsid w:val="7EC71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Helvetica" w:cs="Helvetica"/>
      <w:color w:val="000000"/>
      <w:sz w:val="22"/>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autoRedefine/>
    <w:unhideWhenUsed/>
    <w:qFormat/>
    <w:uiPriority w:val="99"/>
    <w:pPr>
      <w:widowControl w:val="0"/>
      <w:tabs>
        <w:tab w:val="center" w:pos="4153"/>
        <w:tab w:val="right" w:pos="8306"/>
      </w:tabs>
      <w:snapToGrid w:val="0"/>
    </w:pPr>
    <w:rPr>
      <w:rFonts w:asciiTheme="minorHAnsi" w:hAnsiTheme="minorHAnsi" w:eastAsiaTheme="minorEastAsia" w:cstheme="minorBidi"/>
      <w:color w:val="auto"/>
      <w:kern w:val="2"/>
      <w:sz w:val="18"/>
      <w:szCs w:val="18"/>
    </w:rPr>
  </w:style>
  <w:style w:type="paragraph" w:styleId="4">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color w:val="auto"/>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character" w:customStyle="1" w:styleId="13">
    <w:name w:val="批注框文本 字符"/>
    <w:basedOn w:val="8"/>
    <w:link w:val="2"/>
    <w:autoRedefine/>
    <w:semiHidden/>
    <w:qFormat/>
    <w:uiPriority w:val="99"/>
    <w:rPr>
      <w:sz w:val="18"/>
      <w:szCs w:val="18"/>
    </w:rPr>
  </w:style>
  <w:style w:type="paragraph" w:customStyle="1" w:styleId="14">
    <w:name w:val="style4"/>
    <w:basedOn w:val="1"/>
    <w:autoRedefine/>
    <w:semiHidden/>
    <w:qFormat/>
    <w:uiPriority w:val="99"/>
    <w:pPr>
      <w:spacing w:before="100" w:beforeAutospacing="1" w:after="100" w:afterAutospacing="1"/>
    </w:pPr>
    <w:rPr>
      <w:rFonts w:ascii="宋体" w:hAnsi="宋体" w:eastAsia="宋体" w:cs="宋体"/>
      <w:color w:val="auto"/>
      <w:sz w:val="24"/>
      <w:szCs w:val="24"/>
    </w:rPr>
  </w:style>
  <w:style w:type="paragraph" w:customStyle="1" w:styleId="15">
    <w:name w:val="列出段落1"/>
    <w:basedOn w:val="1"/>
    <w:autoRedefine/>
    <w:qFormat/>
    <w:uiPriority w:val="34"/>
    <w:pPr>
      <w:ind w:firstLine="420" w:firstLineChars="200"/>
    </w:pPr>
  </w:style>
  <w:style w:type="paragraph" w:customStyle="1" w:styleId="16">
    <w:name w:val="列出段落11"/>
    <w:basedOn w:val="1"/>
    <w:autoRedefine/>
    <w:qFormat/>
    <w:uiPriority w:val="34"/>
    <w:pPr>
      <w:widowControl w:val="0"/>
      <w:ind w:left="720"/>
      <w:contextualSpacing/>
      <w:jc w:val="both"/>
    </w:pPr>
    <w:rPr>
      <w:rFonts w:eastAsia="??" w:cs="Arial"/>
      <w:color w:val="auto"/>
      <w:kern w:val="2"/>
      <w:sz w:val="21"/>
    </w:rPr>
  </w:style>
  <w:style w:type="paragraph" w:customStyle="1" w:styleId="17">
    <w:name w:val="列出段落2"/>
    <w:basedOn w:val="1"/>
    <w:autoRedefine/>
    <w:qFormat/>
    <w:uiPriority w:val="99"/>
    <w:pPr>
      <w:ind w:firstLine="420"/>
    </w:pPr>
    <w:rPr>
      <w:rFonts w:eastAsia="宋体" w:cs="Times New Roman"/>
    </w:rPr>
  </w:style>
  <w:style w:type="paragraph" w:styleId="18">
    <w:name w:val="List Paragraph"/>
    <w:basedOn w:val="1"/>
    <w:autoRedefine/>
    <w:qFormat/>
    <w:uiPriority w:val="34"/>
    <w:pPr>
      <w:ind w:firstLine="420" w:firstLineChars="200"/>
    </w:pPr>
    <w:rPr>
      <w:rFonts w:ascii="宋体" w:hAnsi="宋体" w:eastAsia="宋体" w:cs="宋体"/>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F2CD5-163E-4C3E-AF0A-152672EBE071}">
  <ds:schemaRefs/>
</ds:datastoreItem>
</file>

<file path=docProps/app.xml><?xml version="1.0" encoding="utf-8"?>
<Properties xmlns="http://schemas.openxmlformats.org/officeDocument/2006/extended-properties" xmlns:vt="http://schemas.openxmlformats.org/officeDocument/2006/docPropsVTypes">
  <Template>Normal</Template>
  <Pages>4</Pages>
  <Words>1709</Words>
  <Characters>1744</Characters>
  <Lines>15</Lines>
  <Paragraphs>4</Paragraphs>
  <TotalTime>0</TotalTime>
  <ScaleCrop>false</ScaleCrop>
  <LinksUpToDate>false</LinksUpToDate>
  <CharactersWithSpaces>1752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2021-03-23T08:26:00Z</dcterms:created>
  <dc:creator>Lenovo</dc:creator>
  <cp:lastModifiedBy>Yan</cp:lastModifiedBy>
  <cp:lastPrinted>2021-03-22T09:03:00Z</cp:lastPrinted>
  <dcterms:modified xsi:type="dcterms:W3CDTF">2025-04-29T07:32:55Z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C7D3B9C10F224A99B0967FE74CE2DD9C_13</vt:lpwstr>
  </property>
  <property fmtid="{D5CDD505-2E9C-101B-9397-08002B2CF9AE}" pid="4" name="KSOTemplateDocerSaveRecord">
    <vt:lpwstr>eyJoZGlkIjoiYjgwMTUwZjk3YjY4NWY1ZGM3ZWRiNjcyZTMwMmI2NzgiLCJ1c2VySWQiOiIxMDgxNjIyNjk3In0=</vt:lpwstr>
  </property>
</Properties>
</file>