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4075D">
      <w:pPr>
        <w:jc w:val="center"/>
        <w:rPr>
          <w:rFonts w:hint="eastAsia" w:ascii="Microsoft YaHei Regular" w:hAnsi="Microsoft YaHei Regular" w:eastAsia="Microsoft YaHei Regular" w:cs="Microsoft YaHei Regular"/>
          <w:b/>
          <w:sz w:val="32"/>
          <w:szCs w:val="32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  <w:lang w:eastAsia="zh-CN"/>
        </w:rPr>
        <w:t>《</w:t>
      </w: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</w:rPr>
        <w:t>人力资源战略全景图设计班</w:t>
      </w:r>
      <w:r>
        <w:rPr>
          <w:rFonts w:hint="eastAsia" w:ascii="Microsoft YaHei Bold" w:hAnsi="Microsoft YaHei Bold" w:eastAsia="Microsoft YaHei Bold" w:cs="微软雅黑"/>
          <w:b/>
          <w:sz w:val="36"/>
          <w:szCs w:val="36"/>
          <w:vertAlign w:val="superscript"/>
          <w:lang w:val="en-US" w:eastAsia="zh-CN"/>
        </w:rPr>
        <w:t>©</w:t>
      </w: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  <w:lang w:eastAsia="zh-CN"/>
        </w:rPr>
        <w:t>》</w:t>
      </w:r>
    </w:p>
    <w:p w14:paraId="68141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报名详情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3000A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2025年5月15日-17日上海，9月11日-13日杭州</w:t>
      </w:r>
    </w:p>
    <w:p w14:paraId="52957444">
      <w:pPr>
        <w:spacing w:line="276" w:lineRule="auto"/>
        <w:jc w:val="both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费用：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980/元人（差旅费用请自理）</w:t>
      </w:r>
    </w:p>
    <w:p w14:paraId="00EC0B17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【课程收益】</w:t>
      </w:r>
    </w:p>
    <w:p w14:paraId="299327FB">
      <w:pPr>
        <w:spacing w:line="360" w:lineRule="auto"/>
        <w:ind w:firstLine="420" w:firstLineChars="20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任正非说，(战略）方向只能大致正确，组织必须充满活力。同时，对组织人才的认识，任总也说：人才不是企业的核心竞争力，对人才的管理能力才是。如何设计合适的结构、管控机制，提高组织的运行效率，敏捷面对当下从VUCA到BANI时代的环境变化，可以通过组织人才设计的4张全景图来进行演绎、澄清和规划。通过本次训战，完成企业人力资源战略的整体规划设计：</w:t>
      </w:r>
    </w:p>
    <w:p w14:paraId="2443B2CE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战略承接：演绎业务战略目标，设计人力资源总体战略</w:t>
      </w:r>
    </w:p>
    <w:p w14:paraId="67839624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战略地图：从人效和业务结构特点出发，绘制BSC战略地图</w:t>
      </w:r>
    </w:p>
    <w:p w14:paraId="216A4025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组织地图：从关键职能和行业组织设计出发，绘制组织地图</w:t>
      </w:r>
    </w:p>
    <w:p w14:paraId="54D3C646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人才地图：从关键人才需求和现状分析出发，绘制人才地图</w:t>
      </w:r>
    </w:p>
    <w:p w14:paraId="1A9F0249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学习地图：从岗位人才胜任能力和培养重点出发，绘制学习地图</w:t>
      </w:r>
    </w:p>
    <w:p w14:paraId="2004F5A1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整合资源：整合内、外部组织人才资源，统筹规划</w:t>
      </w:r>
    </w:p>
    <w:p w14:paraId="502E71CE">
      <w:pPr>
        <w:pStyle w:val="13"/>
        <w:numPr>
          <w:ilvl w:val="0"/>
          <w:numId w:val="1"/>
        </w:numPr>
        <w:spacing w:line="360" w:lineRule="auto"/>
        <w:ind w:firstLine="6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人效提升：最大化落地人力资源战略意图，不断提升组织人效</w:t>
      </w:r>
    </w:p>
    <w:p w14:paraId="2D4D599F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课程交付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】</w:t>
      </w:r>
    </w:p>
    <w:p w14:paraId="7594FCDC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业务战略澄清之两图三表与文化演绎圈图</w:t>
      </w:r>
    </w:p>
    <w:p w14:paraId="3D1641EE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组织战略演绎下的人力资源战略规划全景图</w:t>
      </w:r>
    </w:p>
    <w:p w14:paraId="69C64BF2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组织人效的盘点与发展路径规划表单</w:t>
      </w:r>
    </w:p>
    <w:p w14:paraId="021BEF33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组织三级职能的分解与岗位设置的“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1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图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1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表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1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书”</w:t>
      </w:r>
    </w:p>
    <w:p w14:paraId="58371F07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对未来3-5年人才的需求澄清与整体规划书</w:t>
      </w:r>
    </w:p>
    <w:p w14:paraId="0868650C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人才培养的重心与重点培养路径的设计图</w:t>
      </w:r>
    </w:p>
    <w:p w14:paraId="02C3287C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演绎、归纳、评价工具等常见咨询方法的构建与思维强化演练</w:t>
      </w:r>
    </w:p>
    <w:p w14:paraId="38BDE2F8">
      <w:pPr>
        <w:numPr>
          <w:ilvl w:val="0"/>
          <w:numId w:val="0"/>
        </w:numPr>
        <w:spacing w:line="360" w:lineRule="auto"/>
        <w:ind w:left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【课程大纲】</w:t>
      </w:r>
    </w:p>
    <w:p w14:paraId="57224AC9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FF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FF0000"/>
          <w:spacing w:val="15"/>
          <w:kern w:val="0"/>
          <w:sz w:val="21"/>
          <w:szCs w:val="21"/>
        </w:rPr>
        <w:t>课前作业【特殊注意事项】：</w:t>
      </w:r>
    </w:p>
    <w:p w14:paraId="6810AE53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color w:val="FF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业务战略澄清之两图三表与文化演绎圈图的预填报及绘制（包括但不限于）：</w:t>
      </w:r>
    </w:p>
    <w:p w14:paraId="12CD52F7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行业价值链分析(行业价值链定位、行业宏观环境分析、行业关键成功要素分析、行业发展的趋势、行业经济特征分析…）</w:t>
      </w:r>
    </w:p>
    <w:p w14:paraId="0D7F3C7C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产品和市场分析(目标客户群、产品、市场、渠道、创新…)</w:t>
      </w:r>
    </w:p>
    <w:p w14:paraId="1134990C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行业竞争环境与战略制胜点分析(行业竞争环境、竞争对手优劣势对比分析…）</w:t>
      </w:r>
    </w:p>
    <w:p w14:paraId="03043F67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企业自身资源与能力盘点(资源和能力分析、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组织文化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和领导力…）</w:t>
      </w:r>
    </w:p>
    <w:p w14:paraId="4DCEFEB5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公司使命、愿景和年度目标</w:t>
      </w:r>
    </w:p>
    <w:p w14:paraId="77555F1E">
      <w:pPr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课程导入：</w:t>
      </w:r>
    </w:p>
    <w:p w14:paraId="3919B600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时代背景下的人力资源战略的重要定位</w:t>
      </w:r>
    </w:p>
    <w:p w14:paraId="06A3A910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国家宏观层面的人才强国策略</w:t>
      </w:r>
    </w:p>
    <w:p w14:paraId="119DE8B6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 xml:space="preserve">人才强企相关实例 </w:t>
      </w:r>
    </w:p>
    <w:p w14:paraId="12B010B4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人力资源战略规划的目标</w:t>
      </w:r>
    </w:p>
    <w:p w14:paraId="3473946B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第一章：组织战略与文化解码</w:t>
      </w:r>
    </w:p>
    <w:p w14:paraId="0FDD6943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组织调研诊断方法与侧重点</w:t>
      </w:r>
    </w:p>
    <w:p w14:paraId="64415CFB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1）资料调研</w:t>
      </w:r>
    </w:p>
    <w:p w14:paraId="7E413590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2）调研</w:t>
      </w:r>
    </w:p>
    <w:p w14:paraId="3CAFB198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3）问卷调研</w:t>
      </w:r>
    </w:p>
    <w:p w14:paraId="090B09C8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4）专家咨询</w:t>
      </w:r>
    </w:p>
    <w:p w14:paraId="7CF8B777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5）行业研讨</w:t>
      </w:r>
    </w:p>
    <w:p w14:paraId="274CA2FE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组织调研诊断10大核心问题（根据对象可调整优化）</w:t>
      </w:r>
    </w:p>
    <w:p w14:paraId="4B80F16C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1）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战略制定到执行的有效性调研</w:t>
      </w:r>
    </w:p>
    <w:p w14:paraId="679DF6DE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2）组织目标与公司目标承接的有效性</w:t>
      </w:r>
    </w:p>
    <w:p w14:paraId="1BA93723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3）个人目标.与组织目标衔接的有效性</w:t>
      </w:r>
    </w:p>
    <w:p w14:paraId="195DFE80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4）经营分析会框架/周报、月报，及对经营支撑的有效性</w:t>
      </w:r>
    </w:p>
    <w:p w14:paraId="240C6C03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5）职业发展通道是否畅通，发展路径是否清晰，评审流程是否完善</w:t>
      </w:r>
    </w:p>
    <w:p w14:paraId="071E5C5E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6）人才胜任力评价；人才标准清晰度评价；人才培养能力评价</w:t>
      </w:r>
    </w:p>
    <w:p w14:paraId="40186921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7）组织人效是否持续增长，增长率行业增速排名（与GDP/CPI增速对比？）</w:t>
      </w:r>
    </w:p>
    <w:p w14:paraId="25E70D83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8）薪酬分配激励有效性，薪酬增长率与行业增速排名（与GDP/CPI增速对比？）</w:t>
      </w:r>
    </w:p>
    <w:p w14:paraId="425877AA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9）评价体系是否健全，有无兑现到组织，或到个人？</w:t>
      </w:r>
    </w:p>
    <w:p w14:paraId="383798AB">
      <w:pPr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10）关键骨干岗位留存率；老员工留存比例；市场化人才评估总价值（与薪酬对比）</w:t>
      </w:r>
    </w:p>
    <w:p w14:paraId="5EACC5A4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第二章：基于业务战略的人力资源职能战略的全景设计</w:t>
      </w:r>
    </w:p>
    <w:p w14:paraId="035B961A">
      <w:pPr>
        <w:spacing w:line="360" w:lineRule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人力资源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战略规划的全景设计四张地图及内容概览：</w:t>
      </w:r>
    </w:p>
    <w:p w14:paraId="6FE7812B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战略地图</w:t>
      </w:r>
    </w:p>
    <w:p w14:paraId="11D67A47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组织地图</w:t>
      </w:r>
    </w:p>
    <w:p w14:paraId="7EFB82DF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人才地图</w:t>
      </w:r>
    </w:p>
    <w:p w14:paraId="669B8211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学习地图</w:t>
      </w:r>
    </w:p>
    <w:p w14:paraId="2C42C4C4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第三章：战略地图设计（BSC平衡计分卡战略解码）</w:t>
      </w:r>
    </w:p>
    <w:p w14:paraId="498C5B84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模块一：战略解码工具介绍与使用</w:t>
      </w:r>
    </w:p>
    <w:p w14:paraId="7081801B">
      <w:pPr>
        <w:numPr>
          <w:ilvl w:val="0"/>
          <w:numId w:val="7"/>
        </w:numPr>
        <w:spacing w:line="360" w:lineRule="auto"/>
        <w:ind w:left="84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BLM业务领先模型</w:t>
      </w:r>
    </w:p>
    <w:p w14:paraId="7BC00A1E">
      <w:pPr>
        <w:numPr>
          <w:ilvl w:val="0"/>
          <w:numId w:val="7"/>
        </w:numPr>
        <w:spacing w:line="360" w:lineRule="auto"/>
        <w:ind w:left="84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BSC战略地图</w:t>
      </w:r>
    </w:p>
    <w:p w14:paraId="06D9D860">
      <w:pPr>
        <w:numPr>
          <w:ilvl w:val="0"/>
          <w:numId w:val="7"/>
        </w:numPr>
        <w:spacing w:line="360" w:lineRule="auto"/>
        <w:ind w:left="845" w:leftChars="0" w:hanging="425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OGSM模型策略行动分解</w:t>
      </w:r>
    </w:p>
    <w:p w14:paraId="2BDCE01D">
      <w:pPr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>实操演练：BSC战略地图（本公司案例）</w:t>
      </w:r>
    </w:p>
    <w:p w14:paraId="14353F7D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模块二：策略行动目标分解-组织绩效设计</w:t>
      </w:r>
    </w:p>
    <w:p w14:paraId="7F4DCDE9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模块三：策略行动目标分解-个人绩效设计</w:t>
      </w:r>
    </w:p>
    <w:p w14:paraId="1E9D494E">
      <w:pPr>
        <w:numPr>
          <w:ilvl w:val="0"/>
          <w:numId w:val="8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>实操演练：组织绩效考核表（季度）、个人绩效考核表（年度）</w:t>
      </w:r>
    </w:p>
    <w:p w14:paraId="05D18C82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第四章：组织地图设计（组织架构图与功能描述）</w:t>
      </w:r>
    </w:p>
    <w:p w14:paraId="33A69F32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模块一：基于战略执行的流程机制</w:t>
      </w:r>
    </w:p>
    <w:p w14:paraId="5002881B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模块二：基于业务流程的组织设计</w:t>
      </w:r>
    </w:p>
    <w:p w14:paraId="4EBF0495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模块三：组织架构图设计</w:t>
      </w:r>
    </w:p>
    <w:p w14:paraId="5613CCB7">
      <w:pPr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 xml:space="preserve">实操演练：组织架构图设计 </w:t>
      </w:r>
    </w:p>
    <w:p w14:paraId="0F85B991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模块四：组织职能澄清与描述（公司业务、部门职能、岗位任务的三级定责）</w:t>
      </w:r>
    </w:p>
    <w:p w14:paraId="19317361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模块五：职位体系表设计</w:t>
      </w:r>
    </w:p>
    <w:p w14:paraId="4ABBFF13">
      <w:pPr>
        <w:numPr>
          <w:ilvl w:val="0"/>
          <w:numId w:val="9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>实操演练：组织架构图设计（本公司案例）</w:t>
      </w:r>
    </w:p>
    <w:p w14:paraId="79322106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模块六：相关配套管控机制简述（内控、流程、制度体系）</w:t>
      </w:r>
    </w:p>
    <w:p w14:paraId="039C2BAD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第五章：人才地图设计（全景图+单元图）</w:t>
      </w:r>
    </w:p>
    <w:p w14:paraId="45D2DF62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模块一：识别关键岗位20%-30%</w:t>
      </w:r>
    </w:p>
    <w:p w14:paraId="29303716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模块二：关键岗位人才画像</w:t>
      </w:r>
    </w:p>
    <w:p w14:paraId="6D9AC3AC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模块三：人才数量规划</w:t>
      </w:r>
    </w:p>
    <w:p w14:paraId="171ABE82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模块四：梯队人才规划</w:t>
      </w:r>
    </w:p>
    <w:p w14:paraId="2A5478F9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模块五：人才现状盘点</w:t>
      </w:r>
    </w:p>
    <w:p w14:paraId="573809EB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模块六：人才供应链渠道策略</w:t>
      </w:r>
    </w:p>
    <w:p w14:paraId="26B2AFED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模块七：组织人才保障方案</w:t>
      </w:r>
    </w:p>
    <w:p w14:paraId="46774617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模块八：组织人才全景图设计（规划全景与人才需求数量）</w:t>
      </w:r>
    </w:p>
    <w:p w14:paraId="771E0178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模块九：组织人才单元图设计（关键岗位人才梯队一览图[现状/设计图]）</w:t>
      </w:r>
    </w:p>
    <w:p w14:paraId="6C04FCE4">
      <w:pPr>
        <w:numPr>
          <w:ilvl w:val="0"/>
          <w:numId w:val="10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>实操演练：某组织的人才地图-单元图设计</w:t>
      </w:r>
    </w:p>
    <w:p w14:paraId="5B2402B0">
      <w:pPr>
        <w:spacing w:before="156" w:beforeLines="50" w:line="360" w:lineRule="auto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第六章  学习地图设计（关键岗位人才学习路径图+课程设计表）</w:t>
      </w:r>
    </w:p>
    <w:p w14:paraId="0CD1E5AC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模块一：关键岗位人才培养需求诊断（人才画像、需求数量、培养周期等）</w:t>
      </w:r>
    </w:p>
    <w:p w14:paraId="7BEC70AB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模块二：关键岗位人才胜任力评估（现状、差距分析）</w:t>
      </w:r>
    </w:p>
    <w:p w14:paraId="3D2AB8BE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模块三：关键岗位人才培养路径规划（储备人才来源、人才培养模式、人才培养内容等）</w:t>
      </w:r>
    </w:p>
    <w:p w14:paraId="62839F54">
      <w:pPr>
        <w:spacing w:before="156" w:beforeLines="50"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/>
          <w:spacing w:val="15"/>
          <w:kern w:val="0"/>
          <w:sz w:val="21"/>
          <w:szCs w:val="21"/>
        </w:rPr>
        <w:t>模块四：关键岗位人才培养课程设计表</w:t>
      </w:r>
    </w:p>
    <w:p w14:paraId="7185828A">
      <w:pPr>
        <w:numPr>
          <w:ilvl w:val="0"/>
          <w:numId w:val="11"/>
        </w:numPr>
        <w:spacing w:line="360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color w:val="3B3838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FF0000"/>
          <w:spacing w:val="15"/>
          <w:kern w:val="0"/>
          <w:sz w:val="21"/>
          <w:szCs w:val="21"/>
        </w:rPr>
        <w:t>实操演练：某管理/专业/技能序列学习路径图、课程设计表</w:t>
      </w:r>
    </w:p>
    <w:p w14:paraId="26413178">
      <w:pPr>
        <w:spacing w:line="360" w:lineRule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</w:p>
    <w:p w14:paraId="1DBD8F92">
      <w:pPr>
        <w:spacing w:line="360" w:lineRule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</w:p>
    <w:p w14:paraId="60897378">
      <w:pPr>
        <w:spacing w:line="360" w:lineRule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</w:p>
    <w:p w14:paraId="78F1D93B">
      <w:pPr>
        <w:spacing w:line="360" w:lineRule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</w:p>
    <w:p w14:paraId="085D6FE8">
      <w:pPr>
        <w:tabs>
          <w:tab w:val="left" w:pos="0"/>
          <w:tab w:val="left" w:pos="360"/>
        </w:tabs>
        <w:spacing w:line="276" w:lineRule="auto"/>
        <w:rPr>
          <w:rFonts w:hint="eastAsia" w:ascii="Microsoft YaHei Bold" w:hAnsi="Microsoft YaHei Bold" w:eastAsia="Microsoft YaHei Bold" w:cs="Microsoft YaHei Bold"/>
          <w:b/>
          <w:bCs w:val="0"/>
          <w:color w:val="000000"/>
          <w:sz w:val="21"/>
          <w:szCs w:val="21"/>
          <w:lang w:eastAsia="zh-CN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000000"/>
          <w:sz w:val="21"/>
          <w:szCs w:val="21"/>
          <w:lang w:eastAsia="zh-CN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000000"/>
          <w:sz w:val="21"/>
          <w:szCs w:val="21"/>
        </w:rPr>
        <w:t>讲师介绍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000000"/>
          <w:sz w:val="21"/>
          <w:szCs w:val="21"/>
          <w:lang w:val="en-US" w:eastAsia="zh-CN"/>
        </w:rPr>
        <w:t>-夏智老师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000000"/>
          <w:sz w:val="21"/>
          <w:szCs w:val="21"/>
          <w:lang w:eastAsia="zh-CN"/>
        </w:rPr>
        <w:t>】</w:t>
      </w:r>
    </w:p>
    <w:p w14:paraId="7C6FA276">
      <w:pPr>
        <w:numPr>
          <w:ilvl w:val="0"/>
          <w:numId w:val="12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 xml:space="preserve">营创学院&amp;哥伦比亚DBA博士在读、西南石油大学MBA硕士 </w:t>
      </w:r>
    </w:p>
    <w:p w14:paraId="4774151E">
      <w:pPr>
        <w:numPr>
          <w:ilvl w:val="0"/>
          <w:numId w:val="12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国家人力资源管理师（高级）、国家心理咨询师（二级）</w:t>
      </w:r>
    </w:p>
    <w:p w14:paraId="76B6607A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</w:p>
    <w:p w14:paraId="37F30D66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项目经验</w:t>
      </w:r>
    </w:p>
    <w:p w14:paraId="670BC5D9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专注于国央企、大中型企业总部薪酬绩效设计、定编定岗、职业发展通道、人才评估</w:t>
      </w:r>
    </w:p>
    <w:p w14:paraId="76A0348C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事业部/下属一级单位领导人考核、契约化与职业经理人制度等设计与实施。</w:t>
      </w:r>
    </w:p>
    <w:p w14:paraId="48305226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</w:p>
    <w:p w14:paraId="273D39CB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某交通设计集团岗位、绩效、薪酬、职业发展通道设计项目</w:t>
      </w:r>
    </w:p>
    <w:p w14:paraId="62B47420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某新材料公司岗位重构及岗位价值评价项目</w:t>
      </w:r>
    </w:p>
    <w:p w14:paraId="0BCA1A4C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某直升机人才标准、激励、评价体系设计项目</w:t>
      </w:r>
    </w:p>
    <w:p w14:paraId="31BEA329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某供应链省分公司人力资源优化项目</w:t>
      </w:r>
    </w:p>
    <w:p w14:paraId="7FF5B332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某卷烟厂定编定岗、岗位价值评价、任职资格设计项目</w:t>
      </w:r>
    </w:p>
    <w:p w14:paraId="33C60667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华电四川水电开发有限公司绩效咨询服务项目</w:t>
      </w:r>
    </w:p>
    <w:p w14:paraId="338E421E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成都产投大数据集团/科创投集团行业经营水平与薪酬调研服务项目</w:t>
      </w:r>
    </w:p>
    <w:p w14:paraId="1E7BA9FE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蜀南气矿岗位定编、人才盘点咨询服务项目</w:t>
      </w:r>
    </w:p>
    <w:p w14:paraId="7971A678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某公交集团岗位、绩效、薪酬、职业发展通道设计项目</w:t>
      </w:r>
    </w:p>
    <w:p w14:paraId="36B9C143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中石化某油气田分公司岗位、绩效、薪酬、员工评价体系项目</w:t>
      </w:r>
    </w:p>
    <w:p w14:paraId="26D5CC69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某石油管道工程有限公司定员、岗评、绩效薪酬项目</w:t>
      </w:r>
    </w:p>
    <w:p w14:paraId="196255DF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某油田第三采油厂定员、绩效考核及人才盘点与规划项目</w:t>
      </w:r>
    </w:p>
    <w:p w14:paraId="6DEB52E2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中国船舶集团工业系统研究所/703研究所薪酬、绩效体系优化项目</w:t>
      </w:r>
    </w:p>
    <w:p w14:paraId="473C4A2F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湖南机场空港实业胜任力建模与领导力人才发展项目</w:t>
      </w:r>
    </w:p>
    <w:p w14:paraId="20340436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南京金陵科技学院人力资源体系优化项目</w:t>
      </w:r>
    </w:p>
    <w:p w14:paraId="7948D5D2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海南正业农业科技/上海星乐食品/南京任天科技战略解码及组织能力建设项目</w:t>
      </w:r>
    </w:p>
    <w:p w14:paraId="6CC6BA7A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中航国际/万科/广汽研究院/招行IT中心领导力认知与发展项目</w:t>
      </w:r>
    </w:p>
    <w:p w14:paraId="26C8A491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lang w:eastAsia="zh-CN"/>
        </w:rPr>
        <w:t>一飞智控无人机/上海东龙服饰YCC战略解码及薪酬绩效、人才盘点项目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94CD4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3A74C"/>
    <w:multiLevelType w:val="multilevel"/>
    <w:tmpl w:val="9F73A74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98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112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127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141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155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0"/>
        </w:tabs>
        <w:ind w:left="169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0"/>
        </w:tabs>
        <w:ind w:left="183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0"/>
        </w:tabs>
        <w:ind w:left="1978" w:hanging="1558"/>
      </w:pPr>
      <w:rPr>
        <w:rFonts w:hint="default"/>
      </w:rPr>
    </w:lvl>
  </w:abstractNum>
  <w:abstractNum w:abstractNumId="1">
    <w:nsid w:val="CDC3E427"/>
    <w:multiLevelType w:val="singleLevel"/>
    <w:tmpl w:val="CDC3E42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FBCA553"/>
    <w:multiLevelType w:val="singleLevel"/>
    <w:tmpl w:val="CFBCA55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DBEE6A2"/>
    <w:multiLevelType w:val="singleLevel"/>
    <w:tmpl w:val="DDBEE6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EF66A4D"/>
    <w:multiLevelType w:val="multilevel"/>
    <w:tmpl w:val="EEF66A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BBF35F1"/>
    <w:multiLevelType w:val="singleLevel"/>
    <w:tmpl w:val="FBBF3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FDE0CD3"/>
    <w:multiLevelType w:val="singleLevel"/>
    <w:tmpl w:val="FFDE0CD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47E311C"/>
    <w:multiLevelType w:val="multilevel"/>
    <w:tmpl w:val="247E311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2FAF3B2E"/>
    <w:multiLevelType w:val="singleLevel"/>
    <w:tmpl w:val="2FAF3B2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6EFA4758"/>
    <w:multiLevelType w:val="singleLevel"/>
    <w:tmpl w:val="6EFA475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7FFBA10D"/>
    <w:multiLevelType w:val="multilevel"/>
    <w:tmpl w:val="7FFBA1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>
    <w:nsid w:val="7FFCE0F8"/>
    <w:multiLevelType w:val="singleLevel"/>
    <w:tmpl w:val="7FFCE0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mY5MDFiZDBhNDc4ZmU3Y2Y2YWRkMzM5NjNiOGMifQ=="/>
    <w:docVar w:name="KSO_WPS_MARK_KEY" w:val="eb0b7163-d918-4f98-ba28-3bd9e751c00c"/>
  </w:docVars>
  <w:rsids>
    <w:rsidRoot w:val="00433013"/>
    <w:rsid w:val="00002664"/>
    <w:rsid w:val="00034367"/>
    <w:rsid w:val="000A4945"/>
    <w:rsid w:val="000B4DA3"/>
    <w:rsid w:val="000D00C5"/>
    <w:rsid w:val="00112321"/>
    <w:rsid w:val="0011312D"/>
    <w:rsid w:val="001B09C1"/>
    <w:rsid w:val="001C6358"/>
    <w:rsid w:val="002303CE"/>
    <w:rsid w:val="0029408C"/>
    <w:rsid w:val="002B4E31"/>
    <w:rsid w:val="00301EFB"/>
    <w:rsid w:val="00340D65"/>
    <w:rsid w:val="0037187E"/>
    <w:rsid w:val="00371D0E"/>
    <w:rsid w:val="00373101"/>
    <w:rsid w:val="00383A17"/>
    <w:rsid w:val="00422237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367DC"/>
    <w:rsid w:val="00873383"/>
    <w:rsid w:val="00885E36"/>
    <w:rsid w:val="0091346C"/>
    <w:rsid w:val="00934374"/>
    <w:rsid w:val="009C0A97"/>
    <w:rsid w:val="00A17E24"/>
    <w:rsid w:val="00A828F3"/>
    <w:rsid w:val="00B30800"/>
    <w:rsid w:val="00B32A83"/>
    <w:rsid w:val="00B32C76"/>
    <w:rsid w:val="00BA0A84"/>
    <w:rsid w:val="00BC1622"/>
    <w:rsid w:val="00BC4F11"/>
    <w:rsid w:val="00C6253A"/>
    <w:rsid w:val="00C72741"/>
    <w:rsid w:val="00CD1534"/>
    <w:rsid w:val="00D061F4"/>
    <w:rsid w:val="00D22590"/>
    <w:rsid w:val="00D313CA"/>
    <w:rsid w:val="00D8633A"/>
    <w:rsid w:val="00E402E6"/>
    <w:rsid w:val="00EC0EAB"/>
    <w:rsid w:val="00F41329"/>
    <w:rsid w:val="00F5145B"/>
    <w:rsid w:val="00F61009"/>
    <w:rsid w:val="00FB2128"/>
    <w:rsid w:val="173FC1CB"/>
    <w:rsid w:val="3EBB1C42"/>
    <w:rsid w:val="3FF60D6C"/>
    <w:rsid w:val="430F01DB"/>
    <w:rsid w:val="437D75EB"/>
    <w:rsid w:val="52605BD9"/>
    <w:rsid w:val="574DFE4F"/>
    <w:rsid w:val="6ED78D98"/>
    <w:rsid w:val="6FFFD4DD"/>
    <w:rsid w:val="7B6F83F8"/>
    <w:rsid w:val="7EE60B90"/>
    <w:rsid w:val="7FFF86D1"/>
    <w:rsid w:val="7FFFCCF3"/>
    <w:rsid w:val="BEFB815F"/>
    <w:rsid w:val="DF75BD92"/>
    <w:rsid w:val="E3F54FDB"/>
    <w:rsid w:val="ED4F1A17"/>
    <w:rsid w:val="FD2E151B"/>
    <w:rsid w:val="FF3D75B4"/>
    <w:rsid w:val="FF6FCE62"/>
    <w:rsid w:val="FFEE9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字符"/>
    <w:link w:val="2"/>
    <w:autoRedefine/>
    <w:qFormat/>
    <w:uiPriority w:val="0"/>
    <w:rPr>
      <w:sz w:val="24"/>
    </w:rPr>
  </w:style>
  <w:style w:type="character" w:customStyle="1" w:styleId="11">
    <w:name w:val="正文文本 Char1"/>
    <w:basedOn w:val="7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2456</Words>
  <Characters>2522</Characters>
  <Lines>17</Lines>
  <Paragraphs>5</Paragraphs>
  <TotalTime>3</TotalTime>
  <ScaleCrop>false</ScaleCrop>
  <LinksUpToDate>false</LinksUpToDate>
  <CharactersWithSpaces>2527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2016-01-14T03:36:00Z</dcterms:created>
  <dc:creator>samsung-</dc:creator>
  <cp:lastModifiedBy>Yan</cp:lastModifiedBy>
  <dcterms:modified xsi:type="dcterms:W3CDTF">2025-05-08T07:06:44Z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8CA4C2916D9448EF8BA9451DB5819E00_13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