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87124">
      <w:pPr>
        <w:pStyle w:val="2"/>
        <w:spacing w:before="0" w:after="0" w:line="560" w:lineRule="exact"/>
        <w:rPr>
          <w:rFonts w:cs="宋体"/>
        </w:rPr>
      </w:pPr>
      <w:r>
        <w:t>企业</w:t>
      </w:r>
      <w:r>
        <w:rPr>
          <w:rFonts w:hint="eastAsia"/>
        </w:rPr>
        <w:t>中高收入者（含外籍人士）个税筹划训练营</w:t>
      </w:r>
    </w:p>
    <w:p w14:paraId="3406793F">
      <w:pPr>
        <w:widowControl/>
        <w:shd w:val="clear" w:color="auto" w:fill="FFFFFF"/>
        <w:spacing w:line="560" w:lineRule="exact"/>
        <w:rPr>
          <w:rFonts w:hint="eastAsia" w:ascii="微软雅黑" w:hAnsi="微软雅黑" w:eastAsia="微软雅黑" w:cs="微软雅黑"/>
          <w:spacing w:val="8"/>
          <w:kern w:val="0"/>
          <w:szCs w:val="21"/>
          <w:shd w:val="clear" w:color="auto" w:fill="FFFFFF"/>
          <w:lang w:bidi="ar"/>
        </w:rPr>
      </w:pPr>
      <w:r>
        <w:rPr>
          <w:rFonts w:hint="eastAsia" w:ascii="微软雅黑" w:hAnsi="微软雅黑" w:eastAsia="微软雅黑" w:cs="微软雅黑"/>
          <w:b/>
          <w:bCs/>
          <w:szCs w:val="21"/>
        </w:rPr>
        <w:t>课程时间：</w:t>
      </w:r>
      <w:r>
        <w:rPr>
          <w:rFonts w:hint="eastAsia" w:ascii="微软雅黑" w:hAnsi="微软雅黑" w:eastAsia="微软雅黑" w:cs="微软雅黑"/>
          <w:spacing w:val="8"/>
          <w:kern w:val="0"/>
          <w:szCs w:val="21"/>
          <w:shd w:val="clear" w:color="auto" w:fill="FFFFFF"/>
          <w:lang w:bidi="ar"/>
        </w:rPr>
        <w:t>2025年</w:t>
      </w:r>
      <w:r>
        <w:rPr>
          <w:rFonts w:hint="eastAsia" w:ascii="微软雅黑" w:hAnsi="微软雅黑" w:eastAsia="微软雅黑" w:cs="微软雅黑"/>
          <w:spacing w:val="8"/>
          <w:kern w:val="0"/>
          <w:szCs w:val="21"/>
          <w:shd w:val="clear" w:color="auto" w:fill="FFFFFF"/>
          <w:lang w:val="en-US" w:eastAsia="zh-CN" w:bidi="ar"/>
        </w:rPr>
        <w:t>12</w:t>
      </w:r>
      <w:r>
        <w:rPr>
          <w:rFonts w:hint="eastAsia" w:ascii="微软雅黑" w:hAnsi="微软雅黑" w:eastAsia="微软雅黑" w:cs="微软雅黑"/>
          <w:spacing w:val="8"/>
          <w:kern w:val="0"/>
          <w:szCs w:val="21"/>
          <w:shd w:val="clear" w:color="auto" w:fill="FFFFFF"/>
          <w:lang w:bidi="ar"/>
        </w:rPr>
        <w:t>月</w:t>
      </w:r>
      <w:r>
        <w:rPr>
          <w:rFonts w:hint="eastAsia" w:ascii="微软雅黑" w:hAnsi="微软雅黑" w:eastAsia="微软雅黑" w:cs="微软雅黑"/>
          <w:spacing w:val="8"/>
          <w:kern w:val="0"/>
          <w:szCs w:val="21"/>
          <w:shd w:val="clear" w:color="auto" w:fill="FFFFFF"/>
          <w:lang w:val="en-US" w:eastAsia="zh-CN" w:bidi="ar"/>
        </w:rPr>
        <w:t>12</w:t>
      </w:r>
      <w:bookmarkStart w:id="0" w:name="_GoBack"/>
      <w:bookmarkEnd w:id="0"/>
      <w:r>
        <w:rPr>
          <w:rFonts w:hint="eastAsia" w:ascii="微软雅黑" w:hAnsi="微软雅黑" w:eastAsia="微软雅黑" w:cs="微软雅黑"/>
          <w:spacing w:val="8"/>
          <w:kern w:val="0"/>
          <w:szCs w:val="21"/>
          <w:shd w:val="clear" w:color="auto" w:fill="FFFFFF"/>
          <w:lang w:bidi="ar"/>
        </w:rPr>
        <w:t>日上海</w:t>
      </w:r>
    </w:p>
    <w:p w14:paraId="12393D13">
      <w:pPr>
        <w:spacing w:line="560" w:lineRule="exact"/>
        <w:rPr>
          <w:rFonts w:hint="eastAsia" w:ascii="微软雅黑" w:hAnsi="微软雅黑" w:eastAsia="微软雅黑" w:cs="微软雅黑"/>
          <w:b/>
          <w:bCs/>
          <w:szCs w:val="21"/>
        </w:rPr>
      </w:pPr>
      <w:r>
        <w:rPr>
          <w:rFonts w:hint="eastAsia" w:ascii="微软雅黑" w:hAnsi="微软雅黑" w:eastAsia="微软雅黑" w:cs="微软雅黑"/>
          <w:b/>
          <w:bCs/>
          <w:szCs w:val="21"/>
        </w:rPr>
        <w:t>课程费用：</w:t>
      </w:r>
      <w:r>
        <w:rPr>
          <w:rFonts w:hint="eastAsia" w:ascii="微软雅黑" w:hAnsi="微软雅黑" w:eastAsia="微软雅黑" w:cs="微软雅黑"/>
          <w:spacing w:val="8"/>
          <w:kern w:val="0"/>
          <w:szCs w:val="21"/>
          <w:shd w:val="clear" w:color="auto" w:fill="FFFFFF"/>
          <w:lang w:bidi="ar"/>
        </w:rPr>
        <w:t xml:space="preserve">3500元/人 </w:t>
      </w:r>
      <w:r>
        <w:rPr>
          <w:rFonts w:hint="eastAsia" w:ascii="微软雅黑" w:hAnsi="微软雅黑" w:eastAsia="微软雅黑" w:cs="微软雅黑"/>
          <w:szCs w:val="21"/>
        </w:rPr>
        <w:t>（含：授课、讲义资料、午餐、下午茶歇等费用）</w:t>
      </w:r>
    </w:p>
    <w:p w14:paraId="00605BF7">
      <w:pPr>
        <w:widowControl/>
        <w:shd w:val="clear" w:color="auto" w:fill="FFFFFF"/>
        <w:spacing w:line="560" w:lineRule="exact"/>
        <w:rPr>
          <w:rFonts w:hint="eastAsia" w:ascii="微软雅黑" w:hAnsi="微软雅黑" w:eastAsia="微软雅黑" w:cs="微软雅黑"/>
          <w:b/>
          <w:bCs/>
          <w:color w:val="FF0000"/>
          <w:spacing w:val="8"/>
          <w:kern w:val="0"/>
          <w:szCs w:val="21"/>
          <w:shd w:val="clear" w:color="auto" w:fill="FFFFFF"/>
          <w:lang w:bidi="ar"/>
        </w:rPr>
      </w:pPr>
    </w:p>
    <w:p w14:paraId="019F1F15">
      <w:pPr>
        <w:widowControl/>
        <w:shd w:val="clear" w:color="auto" w:fill="FFFFFF"/>
        <w:spacing w:line="560" w:lineRule="exact"/>
        <w:rPr>
          <w:rFonts w:hint="eastAsia" w:ascii="微软雅黑" w:hAnsi="微软雅黑" w:eastAsia="微软雅黑" w:cs="微软雅黑"/>
          <w:b/>
          <w:bCs/>
          <w:color w:val="C00000"/>
          <w:spacing w:val="8"/>
          <w:kern w:val="0"/>
          <w:szCs w:val="21"/>
          <w:shd w:val="clear" w:color="auto" w:fill="FFFFFF"/>
          <w:lang w:bidi="ar"/>
        </w:rPr>
      </w:pPr>
      <w:r>
        <w:rPr>
          <w:rFonts w:hint="eastAsia" w:ascii="微软雅黑" w:hAnsi="微软雅黑" w:eastAsia="微软雅黑" w:cs="微软雅黑"/>
          <w:b/>
          <w:bCs/>
          <w:color w:val="C00000"/>
          <w:spacing w:val="8"/>
          <w:kern w:val="0"/>
          <w:szCs w:val="21"/>
          <w:shd w:val="clear" w:color="auto" w:fill="FFFFFF"/>
          <w:lang w:bidi="ar"/>
        </w:rPr>
        <w:t>参加本次课程培训免费提供一年实务操作中问题咨询及企业税务顾问单位线上咨询服务</w:t>
      </w:r>
    </w:p>
    <w:p w14:paraId="6C2CD78D">
      <w:pPr>
        <w:widowControl/>
        <w:shd w:val="clear" w:color="auto" w:fill="FFFFFF"/>
        <w:spacing w:line="560" w:lineRule="exact"/>
        <w:rPr>
          <w:rFonts w:hint="eastAsia" w:ascii="微软雅黑" w:hAnsi="微软雅黑" w:eastAsia="微软雅黑" w:cs="微软雅黑"/>
          <w:b/>
          <w:bCs/>
          <w:color w:val="FF0000"/>
          <w:kern w:val="0"/>
          <w:szCs w:val="21"/>
          <w:shd w:val="clear" w:color="auto" w:fill="FFFFFF"/>
          <w:lang w:bidi="ar"/>
        </w:rPr>
      </w:pPr>
    </w:p>
    <w:p w14:paraId="1D0B245D">
      <w:pPr>
        <w:widowControl/>
        <w:shd w:val="clear" w:color="auto" w:fill="FFFFFF"/>
        <w:spacing w:line="560" w:lineRule="exact"/>
        <w:rPr>
          <w:rFonts w:hint="eastAsia" w:ascii="微软雅黑" w:hAnsi="微软雅黑" w:eastAsia="微软雅黑" w:cs="微软雅黑"/>
          <w:szCs w:val="21"/>
        </w:rPr>
      </w:pPr>
      <w:r>
        <w:rPr>
          <w:rFonts w:hint="eastAsia" w:ascii="微软雅黑" w:hAnsi="微软雅黑" w:eastAsia="微软雅黑" w:cs="微软雅黑"/>
          <w:b/>
          <w:bCs/>
          <w:kern w:val="0"/>
          <w:szCs w:val="21"/>
          <w:shd w:val="clear" w:color="auto" w:fill="FFFFFF"/>
          <w:lang w:bidi="ar"/>
        </w:rPr>
        <w:t>课程背景：</w:t>
      </w:r>
    </w:p>
    <w:p w14:paraId="39CCAB08">
      <w:pPr>
        <w:pStyle w:val="5"/>
        <w:widowControl/>
        <w:shd w:val="clear" w:color="auto" w:fill="FFFFFF"/>
        <w:spacing w:line="560" w:lineRule="exact"/>
        <w:ind w:firstLine="400"/>
        <w:rPr>
          <w:rFonts w:ascii="微软雅黑" w:hAnsi="微软雅黑" w:eastAsia="微软雅黑" w:cs="微软雅黑"/>
          <w:color w:val="000000"/>
          <w:sz w:val="21"/>
          <w:szCs w:val="21"/>
        </w:rPr>
      </w:pPr>
      <w:r>
        <w:rPr>
          <w:rFonts w:ascii="微软雅黑" w:hAnsi="微软雅黑" w:eastAsia="微软雅黑" w:cs="微软雅黑"/>
          <w:color w:val="000000"/>
          <w:sz w:val="21"/>
          <w:szCs w:val="21"/>
          <w:shd w:val="clear" w:color="auto" w:fill="FFFFFF"/>
        </w:rPr>
        <w:t>金税四期全面上线，各部委及银行数据将整合进金税系统，个人的资产收支更加透明化。</w:t>
      </w:r>
      <w:r>
        <w:rPr>
          <w:rFonts w:ascii="微软雅黑" w:hAnsi="微软雅黑" w:eastAsia="微软雅黑" w:cs="微软雅黑"/>
          <w:color w:val="222222"/>
          <w:spacing w:val="8"/>
          <w:sz w:val="21"/>
          <w:szCs w:val="21"/>
          <w:shd w:val="clear" w:color="auto" w:fill="FFFFFF"/>
        </w:rPr>
        <w:t>为此，国家税务总局开发了立志全球领先的个人所得税大数据征管系统。</w:t>
      </w:r>
      <w:r>
        <w:rPr>
          <w:rFonts w:ascii="微软雅黑" w:hAnsi="微软雅黑" w:eastAsia="微软雅黑" w:cs="微软雅黑"/>
          <w:color w:val="000000"/>
          <w:sz w:val="21"/>
          <w:szCs w:val="21"/>
          <w:shd w:val="clear" w:color="auto" w:fill="FFFFFF"/>
        </w:rPr>
        <w:t>对于高净值人群来说，伴随着金税四期时代自然人纳税识别号的建立和新个税法中首次引入反避税条款，个人的资产收支更加透明化。同时，近期国家税务总局</w:t>
      </w:r>
      <w:r>
        <w:rPr>
          <w:rFonts w:ascii="微软雅黑" w:hAnsi="微软雅黑" w:eastAsia="微软雅黑" w:cs="微软雅黑"/>
          <w:color w:val="222222"/>
          <w:spacing w:val="8"/>
          <w:sz w:val="21"/>
          <w:szCs w:val="21"/>
          <w:shd w:val="clear" w:color="auto" w:fill="FFFFFF"/>
        </w:rPr>
        <w:t>连续查处范冰冰、郑爽等影视明星偷税案，薇娅等一系列网络直播明星个税案，这些案件中都有一个共同的特点“税务机关在大数据中发现XXX”。</w:t>
      </w:r>
    </w:p>
    <w:p w14:paraId="22082879">
      <w:pPr>
        <w:pStyle w:val="5"/>
        <w:widowControl/>
        <w:shd w:val="clear" w:color="auto" w:fill="FFFFFF"/>
        <w:spacing w:line="560" w:lineRule="exact"/>
        <w:ind w:firstLine="432"/>
        <w:rPr>
          <w:rFonts w:ascii="微软雅黑" w:hAnsi="微软雅黑" w:eastAsia="微软雅黑" w:cs="微软雅黑"/>
          <w:color w:val="000000"/>
          <w:sz w:val="21"/>
          <w:szCs w:val="21"/>
        </w:rPr>
      </w:pPr>
      <w:r>
        <w:rPr>
          <w:rFonts w:ascii="微软雅黑" w:hAnsi="微软雅黑" w:eastAsia="微软雅黑" w:cs="微软雅黑"/>
          <w:color w:val="222222"/>
          <w:spacing w:val="8"/>
          <w:sz w:val="21"/>
          <w:szCs w:val="21"/>
          <w:shd w:val="clear" w:color="auto" w:fill="FFFFFF"/>
        </w:rPr>
        <w:t>因此，</w:t>
      </w:r>
      <w:r>
        <w:rPr>
          <w:rFonts w:ascii="微软雅黑" w:hAnsi="微软雅黑" w:eastAsia="微软雅黑" w:cs="微软雅黑"/>
          <w:color w:val="000000"/>
          <w:sz w:val="21"/>
          <w:szCs w:val="21"/>
          <w:shd w:val="clear" w:color="auto" w:fill="FFFFFF"/>
        </w:rPr>
        <w:t>结合新的征管格局，企业家、高管、营销骨干、研发技术人员、等高净值人士、非居民个人的税收风险大大增加。</w:t>
      </w:r>
      <w:r>
        <w:rPr>
          <w:rFonts w:ascii="微软雅黑" w:hAnsi="微软雅黑" w:eastAsia="微软雅黑" w:cs="微软雅黑"/>
          <w:color w:val="222222"/>
          <w:spacing w:val="8"/>
          <w:sz w:val="21"/>
          <w:szCs w:val="21"/>
          <w:shd w:val="clear" w:color="auto" w:fill="FFFFFF"/>
        </w:rPr>
        <w:t>在新个税法下，结合新的征管格局，高净值人士、非居民个人的税收风险大大增加。未来大数据个人所得税征管模式有哪些，目前各类非居民个人所得税风险、CRS情报交换带来的影响有哪些，以及在新的征管格局下，我们如何进行合理、有效的高管个人所得税筹划。本期课程将聚焦这些问题和大家交流。</w:t>
      </w:r>
    </w:p>
    <w:p w14:paraId="02307BF1">
      <w:pPr>
        <w:widowControl/>
        <w:shd w:val="clear" w:color="auto" w:fill="FFFFFF"/>
        <w:spacing w:line="560" w:lineRule="exact"/>
        <w:rPr>
          <w:rFonts w:hint="eastAsia" w:ascii="微软雅黑" w:hAnsi="微软雅黑" w:eastAsia="微软雅黑" w:cs="微软雅黑"/>
          <w:b/>
          <w:bCs/>
          <w:color w:val="FF0000"/>
          <w:kern w:val="0"/>
          <w:szCs w:val="21"/>
          <w:shd w:val="clear" w:color="auto" w:fill="FFFFFF"/>
          <w:lang w:bidi="ar"/>
        </w:rPr>
      </w:pPr>
    </w:p>
    <w:p w14:paraId="0F6EC71F">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b/>
          <w:bCs/>
          <w:color w:val="FF0000"/>
          <w:kern w:val="0"/>
          <w:szCs w:val="21"/>
          <w:shd w:val="clear" w:color="auto" w:fill="FFFFFF"/>
          <w:lang w:bidi="ar"/>
        </w:rPr>
        <w:t>谁应该参加？ </w:t>
      </w:r>
    </w:p>
    <w:p w14:paraId="73138E53">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企业董事长、总经理、副总经理</w:t>
      </w:r>
    </w:p>
    <w:p w14:paraId="04AE54F3">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企业财务总监、税务总监、财务经理、税务经理及相关负责人员 </w:t>
      </w:r>
    </w:p>
    <w:p w14:paraId="00688B8B">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HR总监、经理和从事薪酬管理的专业人员</w:t>
      </w:r>
    </w:p>
    <w:p w14:paraId="7783B308">
      <w:pPr>
        <w:widowControl/>
        <w:shd w:val="clear" w:color="auto" w:fill="FFFFFF"/>
        <w:spacing w:line="560" w:lineRule="exact"/>
        <w:rPr>
          <w:rFonts w:hint="eastAsia" w:ascii="微软雅黑" w:hAnsi="微软雅黑" w:eastAsia="微软雅黑" w:cs="微软雅黑"/>
          <w:b/>
          <w:bCs/>
          <w:color w:val="FF0000"/>
          <w:kern w:val="0"/>
          <w:szCs w:val="21"/>
          <w:shd w:val="clear" w:color="auto" w:fill="FFFFFF"/>
          <w:lang w:bidi="ar"/>
        </w:rPr>
      </w:pPr>
    </w:p>
    <w:p w14:paraId="77D2EBF2">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b/>
          <w:bCs/>
          <w:color w:val="FF0000"/>
          <w:kern w:val="0"/>
          <w:szCs w:val="21"/>
          <w:shd w:val="clear" w:color="auto" w:fill="FFFFFF"/>
          <w:lang w:bidi="ar"/>
        </w:rPr>
        <w:t>第一部分：最新政策解读</w:t>
      </w:r>
    </w:p>
    <w:p w14:paraId="3824CA6A">
      <w:pPr>
        <w:widowControl/>
        <w:numPr>
          <w:ilvl w:val="0"/>
          <w:numId w:val="1"/>
        </w:numPr>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个人养老金有关个人所得税政策解读</w:t>
      </w:r>
    </w:p>
    <w:p w14:paraId="14F4F0BD">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2、延续实施有关个人所得税优惠政策（股权激励、）解读</w:t>
      </w:r>
    </w:p>
    <w:p w14:paraId="145A2BA9">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3、支持居民换购住房个人所得税政策解读</w:t>
      </w:r>
    </w:p>
    <w:p w14:paraId="0E4AFCCB">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4、法律援助补贴有关税收政策解读</w:t>
      </w:r>
    </w:p>
    <w:p w14:paraId="63D8AD51">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5、《个人所得税专项附加扣除操作办法》政策解读</w:t>
      </w:r>
    </w:p>
    <w:p w14:paraId="7522B380">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6、海南自由贸易港、沪港通个税优惠政策解读</w:t>
      </w:r>
    </w:p>
    <w:p w14:paraId="3FA65595">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7、完善个人所得税制度，适当扩大综合所得征税范围，完善专项附加扣除项目</w:t>
      </w:r>
    </w:p>
    <w:p w14:paraId="5FA778A4">
      <w:pPr>
        <w:widowControl/>
        <w:shd w:val="clear" w:color="auto" w:fill="FFFFFF"/>
        <w:spacing w:line="560" w:lineRule="exact"/>
        <w:rPr>
          <w:rFonts w:ascii="微软雅黑" w:hAnsi="微软雅黑" w:eastAsia="微软雅黑" w:cs="微软雅黑"/>
          <w:b/>
          <w:bCs/>
          <w:color w:val="FF0000"/>
          <w:kern w:val="0"/>
          <w:szCs w:val="21"/>
          <w:shd w:val="clear" w:color="auto" w:fill="FFFFFF"/>
          <w:lang w:bidi="ar"/>
        </w:rPr>
      </w:pPr>
    </w:p>
    <w:p w14:paraId="22B7C894">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b/>
          <w:bCs/>
          <w:color w:val="FF0000"/>
          <w:kern w:val="0"/>
          <w:szCs w:val="21"/>
          <w:shd w:val="clear" w:color="auto" w:fill="FFFFFF"/>
          <w:lang w:bidi="ar"/>
        </w:rPr>
        <w:t>第二部分：金税四期下个税征管及税收筹划专题分析</w:t>
      </w:r>
    </w:p>
    <w:p w14:paraId="0B35A729">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1、金税四期下国家税务总局高收入个人税收征管趋势介绍</w:t>
      </w:r>
    </w:p>
    <w:p w14:paraId="166CB29F">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2、金税四期大数据和智慧税收到底是怎么回事</w:t>
      </w:r>
    </w:p>
    <w:p w14:paraId="4023A20D">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3、金税四期下大数据是如何锁定个人税收问题的</w:t>
      </w:r>
    </w:p>
    <w:p w14:paraId="67779626">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4、金税四期、智慧税务下个人银行卡到底有哪些风险？如何应对？</w:t>
      </w:r>
    </w:p>
    <w:p w14:paraId="1B8731C0">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5、金税四期如何发现银行卡办卡人与持卡人不一致的？</w:t>
      </w:r>
    </w:p>
    <w:p w14:paraId="7DDD34F7">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6、金税四期针对高收入人群将有哪些具体的征管举措？</w:t>
      </w:r>
    </w:p>
    <w:p w14:paraId="06CDA578">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7、金税四期上线后将对以前年度银行卡流水进行核查，该如何应对？</w:t>
      </w:r>
    </w:p>
    <w:p w14:paraId="0527B5A2">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8、金税四期及智慧税务下，针对个人所得税的税务稽查趋势如何？</w:t>
      </w:r>
    </w:p>
    <w:p w14:paraId="2B58602C">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9、大数据征管对个人所得税的影响</w:t>
      </w:r>
    </w:p>
    <w:p w14:paraId="41DC606A">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10、网络直播、明星税案揭露的哪些个税筹划方法未来会面临更大风险</w:t>
      </w:r>
    </w:p>
    <w:p w14:paraId="015C956E">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11、国内避税地筹划</w:t>
      </w:r>
    </w:p>
    <w:p w14:paraId="381CB6ED">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12、境外支付工资筹划</w:t>
      </w:r>
    </w:p>
    <w:p w14:paraId="7158CF2D">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13、个税稽查的现状、重点和趋势</w:t>
      </w:r>
    </w:p>
    <w:p w14:paraId="45EBA57B">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14、收入不合理核定</w:t>
      </w:r>
    </w:p>
    <w:p w14:paraId="16453F5C">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15、穿透个人所得税筹划方法哪些失效了</w:t>
      </w:r>
    </w:p>
    <w:p w14:paraId="2FAD87B8">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16、银行可疑交易、大额交易如何界定，如何应对？</w:t>
      </w:r>
    </w:p>
    <w:p w14:paraId="385F2121">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17、存取款现金超5万，须登记来源和用途的规定取消了吗？</w:t>
      </w:r>
    </w:p>
    <w:p w14:paraId="7FD3D88C">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18、CRS情报交换是怎么回事，海外资产的涉税风险有哪些？如何应对？</w:t>
      </w:r>
    </w:p>
    <w:p w14:paraId="2B27A790">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19、高净值人士在金税四期下会有哪些方面的风险？</w:t>
      </w:r>
    </w:p>
    <w:p w14:paraId="74975814">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20、注销银行卡能不能规避涉税风险，还是会带来更大的风险？</w:t>
      </w:r>
    </w:p>
    <w:p w14:paraId="21D55424">
      <w:pPr>
        <w:widowControl/>
        <w:shd w:val="clear" w:color="auto" w:fill="FFFFFF"/>
        <w:spacing w:line="560" w:lineRule="exact"/>
        <w:rPr>
          <w:rFonts w:ascii="微软雅黑" w:hAnsi="微软雅黑" w:eastAsia="微软雅黑" w:cs="微软雅黑"/>
          <w:b/>
          <w:bCs/>
          <w:color w:val="FF0000"/>
          <w:kern w:val="0"/>
          <w:szCs w:val="21"/>
          <w:shd w:val="clear" w:color="auto" w:fill="FFFFFF"/>
          <w:lang w:bidi="ar"/>
        </w:rPr>
      </w:pPr>
    </w:p>
    <w:p w14:paraId="219DFA8E">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b/>
          <w:bCs/>
          <w:color w:val="FF0000"/>
          <w:kern w:val="0"/>
          <w:szCs w:val="21"/>
          <w:shd w:val="clear" w:color="auto" w:fill="FFFFFF"/>
          <w:lang w:bidi="ar"/>
        </w:rPr>
        <w:t>第三部分：金税四期下个税征管及税收筹划及案例分析</w:t>
      </w:r>
    </w:p>
    <w:p w14:paraId="58CB54F3">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1、个人所得税税收优惠在个税筹划的运用思路</w:t>
      </w:r>
    </w:p>
    <w:p w14:paraId="0403B2B6">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2、个人所得税不同项目的税负分析及筹划案例</w:t>
      </w:r>
    </w:p>
    <w:p w14:paraId="3366588B">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3、收入性质转换在个人所得税税收筹划中的运用</w:t>
      </w:r>
    </w:p>
    <w:p w14:paraId="6651D2DA">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4、网络直播带货个人所得税筹划</w:t>
      </w:r>
    </w:p>
    <w:p w14:paraId="2FF9E907">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5、福利平台个税筹划的原理、方法及税收风险</w:t>
      </w:r>
    </w:p>
    <w:p w14:paraId="1F9474CA">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6、公司替员工购买豪车如何个税筹划</w:t>
      </w:r>
    </w:p>
    <w:p w14:paraId="575BCB84">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7、拍卖在个税筹划中的正确运用</w:t>
      </w:r>
    </w:p>
    <w:p w14:paraId="3130B630">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8、社保入税如何实现个税和社保的协同筹划</w:t>
      </w:r>
    </w:p>
    <w:p w14:paraId="3B8057F0">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9、劳务公司、服务公司平台个税筹划的原理、方法及税收风险</w:t>
      </w:r>
    </w:p>
    <w:p w14:paraId="4FBC3BD0">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10、如何运用税收洼地规避个税</w:t>
      </w:r>
    </w:p>
    <w:p w14:paraId="29801ACF">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11、股权转让核定个税筹划</w:t>
      </w:r>
    </w:p>
    <w:p w14:paraId="58AD4F64">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12、个税筹划中的虚开增值税发票风险</w:t>
      </w:r>
    </w:p>
    <w:p w14:paraId="3CA209B6">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13、纳税人筹划及案例分析</w:t>
      </w:r>
    </w:p>
    <w:p w14:paraId="788843C7">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14、税种筹划及案例分析</w:t>
      </w:r>
    </w:p>
    <w:p w14:paraId="7A742B76">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15、征税项目的筹划及案例分析</w:t>
      </w:r>
    </w:p>
    <w:p w14:paraId="0E947130">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16、减少计税依据的筹划及案例分析</w:t>
      </w:r>
    </w:p>
    <w:p w14:paraId="2496CE43">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17、降低适用税率的筹划及案例分析</w:t>
      </w:r>
    </w:p>
    <w:p w14:paraId="1D5CBE8E">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18、选择计税方法的筹划及案例分析</w:t>
      </w:r>
    </w:p>
    <w:p w14:paraId="78D5FD1B">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19、工资费用化项目的选择与实施</w:t>
      </w:r>
    </w:p>
    <w:p w14:paraId="42FA2A59">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20、工资发放方法的筹划</w:t>
      </w:r>
    </w:p>
    <w:p w14:paraId="2E120A25">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21、最低工资的税负方案</w:t>
      </w:r>
    </w:p>
    <w:p w14:paraId="371D7D7B">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22、福利费的避税筹划</w:t>
      </w:r>
    </w:p>
    <w:p w14:paraId="0C67A001">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23、劳务报酬的避税筹划</w:t>
      </w:r>
    </w:p>
    <w:p w14:paraId="74254233">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24、工资项目转化，等等</w:t>
      </w:r>
    </w:p>
    <w:p w14:paraId="38D6014E">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25、工资费用的企业所得税节税筹划</w:t>
      </w:r>
    </w:p>
    <w:p w14:paraId="2E848D18">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26、为职工支付其他费用的所得税扣除</w:t>
      </w:r>
    </w:p>
    <w:p w14:paraId="5CB18F51">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27、工资税前列支方式的所得税筹划</w:t>
      </w:r>
    </w:p>
    <w:p w14:paraId="4A8BDB57">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28、基于降低税负的企业年金方案设计</w:t>
      </w:r>
    </w:p>
    <w:p w14:paraId="75244CA9">
      <w:pPr>
        <w:widowControl/>
        <w:shd w:val="clear" w:color="auto" w:fill="FFFFFF"/>
        <w:spacing w:line="560" w:lineRule="exact"/>
        <w:rPr>
          <w:rFonts w:ascii="微软雅黑" w:hAnsi="微软雅黑" w:eastAsia="微软雅黑" w:cs="微软雅黑"/>
          <w:b/>
          <w:bCs/>
          <w:color w:val="FF0000"/>
          <w:kern w:val="0"/>
          <w:szCs w:val="21"/>
          <w:shd w:val="clear" w:color="auto" w:fill="FFFFFF"/>
          <w:lang w:bidi="ar"/>
        </w:rPr>
      </w:pPr>
    </w:p>
    <w:p w14:paraId="546871B5">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b/>
          <w:bCs/>
          <w:color w:val="FF0000"/>
          <w:kern w:val="0"/>
          <w:szCs w:val="21"/>
          <w:shd w:val="clear" w:color="auto" w:fill="FFFFFF"/>
          <w:lang w:bidi="ar"/>
        </w:rPr>
        <w:t>第四部分：大数据征管与新个税法下个人所得税主要风险点</w:t>
      </w:r>
    </w:p>
    <w:p w14:paraId="7D7BA6F6">
      <w:pPr>
        <w:pStyle w:val="6"/>
        <w:widowControl/>
        <w:shd w:val="clear" w:color="auto" w:fill="FFFFFF"/>
        <w:spacing w:beforeAutospacing="0" w:afterAutospacing="0" w:line="560" w:lineRule="exact"/>
        <w:jc w:val="both"/>
        <w:rPr>
          <w:rFonts w:hint="eastAsia" w:ascii="微软雅黑" w:hAnsi="微软雅黑" w:eastAsia="微软雅黑" w:cs="微软雅黑"/>
          <w:color w:val="000000"/>
          <w:sz w:val="21"/>
          <w:szCs w:val="21"/>
        </w:rPr>
      </w:pPr>
      <w:r>
        <w:rPr>
          <w:rFonts w:hint="eastAsia" w:ascii="微软雅黑" w:hAnsi="微软雅黑" w:eastAsia="微软雅黑" w:cs="微软雅黑"/>
          <w:b/>
          <w:bCs/>
          <w:color w:val="222222"/>
          <w:spacing w:val="8"/>
          <w:sz w:val="21"/>
          <w:szCs w:val="21"/>
          <w:shd w:val="clear" w:color="auto" w:fill="FFFFFF"/>
        </w:rPr>
        <w:t>一、财税〔2018〕164号：个税法修改后有关优惠政策衔接</w:t>
      </w:r>
    </w:p>
    <w:p w14:paraId="368250A6">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1、上市公司股权激励优惠政策衔接实操分析</w:t>
      </w:r>
    </w:p>
    <w:p w14:paraId="0A7FBA2A">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2、保险营销员、证券经纪人佣金收入优惠政策衔接实操分析</w:t>
      </w:r>
    </w:p>
    <w:p w14:paraId="07E3EC40">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3、个人领取企业年金、职业年金优惠政策衔接实操分析</w:t>
      </w:r>
    </w:p>
    <w:p w14:paraId="7E828A3A">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4、一次性补偿收入优惠政策衔接实操分析</w:t>
      </w:r>
    </w:p>
    <w:p w14:paraId="510611DD">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5、外籍个人有关津补贴优惠政策到期是否会取消，如何最好衔接</w:t>
      </w:r>
    </w:p>
    <w:p w14:paraId="66043B99">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6、国家税务总局最新自然人信息系统（ITS）介绍及大数据征管模型</w:t>
      </w:r>
    </w:p>
    <w:p w14:paraId="7B82AAD4">
      <w:pPr>
        <w:pStyle w:val="6"/>
        <w:widowControl/>
        <w:shd w:val="clear" w:color="auto" w:fill="FFFFFF"/>
        <w:spacing w:beforeAutospacing="0" w:afterAutospacing="0" w:line="560" w:lineRule="exact"/>
        <w:jc w:val="both"/>
        <w:rPr>
          <w:rFonts w:hint="eastAsia" w:ascii="微软雅黑" w:hAnsi="微软雅黑" w:eastAsia="微软雅黑" w:cs="微软雅黑"/>
          <w:color w:val="000000"/>
          <w:sz w:val="21"/>
          <w:szCs w:val="21"/>
        </w:rPr>
      </w:pPr>
      <w:r>
        <w:rPr>
          <w:rFonts w:hint="eastAsia" w:ascii="微软雅黑" w:hAnsi="微软雅黑" w:eastAsia="微软雅黑" w:cs="微软雅黑"/>
          <w:b/>
          <w:bCs/>
          <w:color w:val="222222"/>
          <w:spacing w:val="8"/>
          <w:sz w:val="21"/>
          <w:szCs w:val="21"/>
          <w:shd w:val="clear" w:color="auto" w:fill="FFFFFF"/>
        </w:rPr>
        <w:t>二、新个税法实施条例实务解析</w:t>
      </w:r>
    </w:p>
    <w:p w14:paraId="44D8B44D">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1、非居民划分标准从1年改为183天对外籍个人税收规划的影响？</w:t>
      </w:r>
    </w:p>
    <w:p w14:paraId="3C074F67">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2、完善有关纳税人的规定</w:t>
      </w:r>
    </w:p>
    <w:p w14:paraId="6810C0A7">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3、完善来源于中国境内的所得范围</w:t>
      </w:r>
    </w:p>
    <w:p w14:paraId="6B923A3C">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4、完善应税所得范围</w:t>
      </w:r>
    </w:p>
    <w:p w14:paraId="01CD09FA">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5、明确综合所得办理汇算清缴情形</w:t>
      </w:r>
    </w:p>
    <w:p w14:paraId="649138A1">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6、工资薪金所得的实际税负比较</w:t>
      </w:r>
    </w:p>
    <w:p w14:paraId="4A2BF818">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7、专项附加扣除政策的操作方法：疑难解答</w:t>
      </w:r>
    </w:p>
    <w:p w14:paraId="6DB57BEA">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8、税款计算—居民个人综合所得预扣预缴税款的计算方法案例分析</w:t>
      </w:r>
    </w:p>
    <w:p w14:paraId="17E23447">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9、税款计算—非居民个人四项所得应代扣代缴的计算方法案例分析</w:t>
      </w:r>
    </w:p>
    <w:p w14:paraId="42D610FD">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10、《境外所得个人所得税征收管理暂行办法》</w:t>
      </w:r>
    </w:p>
    <w:p w14:paraId="15A712F7">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11、个税法修订对CRS数据交换的影响？CRS最新进展？</w:t>
      </w:r>
    </w:p>
    <w:p w14:paraId="54DC4835">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12、关联交易、CFC、一般反避税规则引入后个人所得税反避税最新精神把握？</w:t>
      </w:r>
    </w:p>
    <w:p w14:paraId="70078102">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13、个税法修订后多部门联动会涉及个人银行账户的监控吗？</w:t>
      </w:r>
    </w:p>
    <w:p w14:paraId="36E6BC17">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14、个税最新税率的变化表体现税负如何变化？</w:t>
      </w:r>
    </w:p>
    <w:p w14:paraId="40D8C899">
      <w:pPr>
        <w:widowControl/>
        <w:shd w:val="clear" w:color="auto" w:fill="FFFFFF"/>
        <w:spacing w:line="560" w:lineRule="exact"/>
        <w:rPr>
          <w:rFonts w:ascii="微软雅黑" w:hAnsi="微软雅黑" w:eastAsia="微软雅黑" w:cs="微软雅黑"/>
          <w:b/>
          <w:bCs/>
          <w:color w:val="FF0000"/>
          <w:kern w:val="0"/>
          <w:szCs w:val="21"/>
          <w:shd w:val="clear" w:color="auto" w:fill="FFFFFF"/>
          <w:lang w:bidi="ar"/>
        </w:rPr>
      </w:pPr>
    </w:p>
    <w:p w14:paraId="1007B433">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b/>
          <w:bCs/>
          <w:color w:val="FF0000"/>
          <w:kern w:val="0"/>
          <w:szCs w:val="21"/>
          <w:shd w:val="clear" w:color="auto" w:fill="FFFFFF"/>
          <w:lang w:bidi="ar"/>
        </w:rPr>
        <w:t>第五部分：新个税法下外籍人士个税热点问题和国际人才派遣税务难点分析</w:t>
      </w:r>
    </w:p>
    <w:p w14:paraId="65886FBE">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1、居民纳税人与非居民纳税人的区分</w:t>
      </w:r>
    </w:p>
    <w:p w14:paraId="79436BBB">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2、外籍个人境内多处取得收入如何缴纳个人所得税</w:t>
      </w:r>
    </w:p>
    <w:p w14:paraId="1BDEEB85">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3、境内居住天数的计算含义和未来调整预测（90天、183天、1年、5年的计算方法）</w:t>
      </w:r>
    </w:p>
    <w:p w14:paraId="202BCFDC">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4、外籍人员工资薪金的组成，工资、薪金所得来源地判定问题</w:t>
      </w:r>
    </w:p>
    <w:p w14:paraId="2188C5C3">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5、外籍人士八项补贴的改革趋势和应对</w:t>
      </w:r>
    </w:p>
    <w:p w14:paraId="399B22D0">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6、港澳地区补贴免税；</w:t>
      </w:r>
    </w:p>
    <w:p w14:paraId="04251313">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7、关于在中国境内、境外工作期间的界定</w:t>
      </w:r>
    </w:p>
    <w:p w14:paraId="4A7D76A9">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8、外籍董事、高管个人所得税计算差异分析</w:t>
      </w:r>
    </w:p>
    <w:p w14:paraId="39B45160">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9、境内外工资薪金所得的个人所得税计算方法；</w:t>
      </w:r>
    </w:p>
    <w:p w14:paraId="4E51CC05">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10、港澳人员特殊计算方法；境外保险、实物福利等问题</w:t>
      </w:r>
    </w:p>
    <w:p w14:paraId="701906EA">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11、一次取得年终奖金及数月奖金</w:t>
      </w:r>
    </w:p>
    <w:p w14:paraId="3B9A1D51">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12、外商投资企业的董事担任直接管理职务征税问题</w:t>
      </w:r>
    </w:p>
    <w:p w14:paraId="44180C59">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13、90天（183天）申报问题，境外收入的申报问题</w:t>
      </w:r>
    </w:p>
    <w:p w14:paraId="02F2CE67">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14、汇率的折算问题</w:t>
      </w:r>
    </w:p>
    <w:p w14:paraId="160DBD22">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15、外籍个人派遣劳务与常设机构认定问题</w:t>
      </w:r>
    </w:p>
    <w:p w14:paraId="12EDBDA2">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16、独立个人劳务和非独立个人劳务认定规则与调整</w:t>
      </w:r>
    </w:p>
    <w:p w14:paraId="6FDAF2F0">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17、外籍个人如何提前做好新个税法修订后的境内税收事务安排</w:t>
      </w:r>
    </w:p>
    <w:p w14:paraId="08EF363D">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18、离境个人所得税清算是脱籍税吗？</w:t>
      </w:r>
    </w:p>
    <w:p w14:paraId="36745729">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19、外籍个人如何规划境内外居住天数以避免重复征税？</w:t>
      </w:r>
    </w:p>
    <w:p w14:paraId="23DBA3D7">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20、双重居民身份如何认定识别：永久性住所——重要经济利益中心——习惯居住地</w:t>
      </w:r>
    </w:p>
    <w:p w14:paraId="2AA2189E">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21、究竟哪些外籍个人需要履行申报义务，不申报有什么风险</w:t>
      </w:r>
    </w:p>
    <w:p w14:paraId="34A0C675">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22、如何正确识别雇佣状态：境内外双重受雇——仅受雇境外——仅受雇境内</w:t>
      </w:r>
    </w:p>
    <w:p w14:paraId="2E1BF453">
      <w:pPr>
        <w:widowControl/>
        <w:shd w:val="clear" w:color="auto" w:fill="FFFFFF"/>
        <w:spacing w:line="560" w:lineRule="exact"/>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23、非居民个人境内缴纳社保能否税前扣除——争议点及解决之道</w:t>
      </w:r>
    </w:p>
    <w:p w14:paraId="1CFC25AA">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24、外籍个人海外保险的个人所得税申报风险问题</w:t>
      </w:r>
    </w:p>
    <w:p w14:paraId="51941443">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25、境外股权激励行权所得的个人所得税风险问题</w:t>
      </w:r>
    </w:p>
    <w:p w14:paraId="5F5597DF">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26、境外收入是否需要进行年度申报——CRS与个人所得税年度汇算</w:t>
      </w:r>
    </w:p>
    <w:p w14:paraId="43989580">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27、外派人员来华的个人所得税风险点梳理及把控</w:t>
      </w:r>
    </w:p>
    <w:p w14:paraId="2A3D599C">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28、外籍董事、高管如何正确划分收入计算个人所得税；</w:t>
      </w:r>
    </w:p>
    <w:p w14:paraId="0ADD4F81">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29、外籍个人股息所得的税收优惠是否取消</w:t>
      </w:r>
    </w:p>
    <w:p w14:paraId="4821B087">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30、个人多出取得工资、经营收入ITS系统如何进行风险监控</w:t>
      </w:r>
    </w:p>
    <w:p w14:paraId="21ACC984">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31、税务机关针对六项专项附加扣除中识别出来的主要风险点梳理</w:t>
      </w:r>
    </w:p>
    <w:p w14:paraId="382A6FAC">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32、多处发放年终奖在个税汇算中的系统风险识别与控制</w:t>
      </w:r>
    </w:p>
    <w:p w14:paraId="1EB8CFC9">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33、社保税务局征收后，异地社保缴纳与个人所得税风险把控</w:t>
      </w:r>
    </w:p>
    <w:p w14:paraId="688DFF59">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34、离境清算是否适用外籍个人</w:t>
      </w:r>
    </w:p>
    <w:p w14:paraId="3D1B5B1A">
      <w:pPr>
        <w:widowControl/>
        <w:shd w:val="clear" w:color="auto" w:fill="FFFFFF"/>
        <w:spacing w:line="560" w:lineRule="exact"/>
        <w:rPr>
          <w:rFonts w:ascii="微软雅黑" w:hAnsi="微软雅黑" w:eastAsia="微软雅黑" w:cs="微软雅黑"/>
          <w:b/>
          <w:bCs/>
          <w:color w:val="FF0000"/>
          <w:kern w:val="0"/>
          <w:szCs w:val="21"/>
          <w:shd w:val="clear" w:color="auto" w:fill="FFFFFF"/>
          <w:lang w:bidi="ar"/>
        </w:rPr>
      </w:pPr>
    </w:p>
    <w:p w14:paraId="0DAE5532">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b/>
          <w:bCs/>
          <w:color w:val="FF0000"/>
          <w:kern w:val="0"/>
          <w:szCs w:val="21"/>
          <w:shd w:val="clear" w:color="auto" w:fill="FFFFFF"/>
          <w:lang w:bidi="ar"/>
        </w:rPr>
        <w:t>授课老师介绍：</w:t>
      </w:r>
    </w:p>
    <w:p w14:paraId="4129947D">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陈老师，在职税务稽查局专家、曾任某市税务稽查副局长、全国税务系统特聘培训讲师，注册税务师、注册纳税筹划师、律师，某省国税稽查局选案专家组成员，国税系统人才库人员及稽查领军人物，已有30年的税收一线税务机关征收、管理、税政、稽查、涉外税收工作经验，曾受多家咨询公司、律师事务所委托成功实施多个税务筹划、税务行政复议及税务行政诉讼案例，有着深厚的财税理论功底和丰富的实践经验，其所讲税务案例、税务稽查风险应对、纳税筹划、税收政策精讲等课程实操性强，深受广大学员欢迎。</w:t>
      </w:r>
    </w:p>
    <w:p w14:paraId="01D20FED">
      <w:pPr>
        <w:widowControl/>
        <w:shd w:val="clear" w:color="auto" w:fill="FFFFFF"/>
        <w:spacing w:line="5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shd w:val="clear" w:color="auto" w:fill="FFFFFF"/>
          <w:lang w:bidi="ar"/>
        </w:rPr>
        <w:t>上海财大、上海国家会计学院、某税务干部学校特聘讲师，研究领域包括资本市场税收问题、重组并购税制、反避税、税收协定及其他涉外税收问题、中外税制差异问题、税会差异问题、企业涉税风险及内部控制问题、金融税制问题等。曾经为欧盟商会、外商协会、税收机关、博士（中国）、万科集团、可口可乐、西门子、华为、联想、三星、中国电信、和记黄埔等世界500强企业开展税务培训，授课内容理论和实务并重，实用性强，信息量大，具有前瞻性，受到普遍欢迎。</w:t>
      </w:r>
    </w:p>
    <w:sectPr>
      <w:headerReference r:id="rId3" w:type="default"/>
      <w:footerReference r:id="rId4" w:type="default"/>
      <w:pgSz w:w="11906" w:h="16838"/>
      <w:pgMar w:top="1043" w:right="1800" w:bottom="104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762C0">
    <w:pPr>
      <w:pStyle w:val="3"/>
      <w:rPr>
        <w:rFonts w:hint="eastAsia"/>
      </w:rPr>
    </w:pPr>
  </w:p>
  <w:p w14:paraId="4DDBFEA9"/>
  <w:p w14:paraId="7575E23F"/>
  <w:p w14:paraId="0344F4B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F10D5">
    <w:r>
      <w:rPr>
        <w:rFonts w:hint="eastAsia" w:ascii="微软雅黑" w:hAnsi="微软雅黑" w:eastAsia="微软雅黑" w:cs="微软雅黑"/>
        <w:sz w:val="18"/>
        <w:szCs w:val="18"/>
      </w:rPr>
      <w:t>广</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64A20"/>
    <w:multiLevelType w:val="singleLevel"/>
    <w:tmpl w:val="C4864A2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1NTdhMDk4NTU2NjUwOTVhOGUyMzgzYzdkNDhkZWUifQ=="/>
  </w:docVars>
  <w:rsids>
    <w:rsidRoot w:val="1AFE5C94"/>
    <w:rsid w:val="002F6129"/>
    <w:rsid w:val="004A1998"/>
    <w:rsid w:val="004B1D75"/>
    <w:rsid w:val="00823C20"/>
    <w:rsid w:val="00DD03E3"/>
    <w:rsid w:val="015702C4"/>
    <w:rsid w:val="01FE2019"/>
    <w:rsid w:val="05CD7117"/>
    <w:rsid w:val="086403B9"/>
    <w:rsid w:val="13C461ED"/>
    <w:rsid w:val="169C380C"/>
    <w:rsid w:val="194916E5"/>
    <w:rsid w:val="1AFE5C94"/>
    <w:rsid w:val="1B8D233B"/>
    <w:rsid w:val="1CD34880"/>
    <w:rsid w:val="213C2D4F"/>
    <w:rsid w:val="2FCA2D85"/>
    <w:rsid w:val="35011724"/>
    <w:rsid w:val="395E3608"/>
    <w:rsid w:val="39695D59"/>
    <w:rsid w:val="3B5A18A9"/>
    <w:rsid w:val="3E7C6988"/>
    <w:rsid w:val="43791047"/>
    <w:rsid w:val="45523861"/>
    <w:rsid w:val="4C715F27"/>
    <w:rsid w:val="4CF53D32"/>
    <w:rsid w:val="4FCB0567"/>
    <w:rsid w:val="55D84ACC"/>
    <w:rsid w:val="58112996"/>
    <w:rsid w:val="5AA045A1"/>
    <w:rsid w:val="5C3E36F7"/>
    <w:rsid w:val="60D545E9"/>
    <w:rsid w:val="67F95602"/>
    <w:rsid w:val="6B125002"/>
    <w:rsid w:val="6C1260EF"/>
    <w:rsid w:val="6F7066E3"/>
    <w:rsid w:val="7545135A"/>
    <w:rsid w:val="79180A6D"/>
    <w:rsid w:val="7B156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widowControl/>
      <w:shd w:val="clear" w:color="auto" w:fill="FFFFFF"/>
      <w:spacing w:before="100" w:after="100" w:line="480" w:lineRule="atLeast"/>
      <w:jc w:val="center"/>
      <w:outlineLvl w:val="0"/>
    </w:pPr>
    <w:rPr>
      <w:rFonts w:ascii="微软雅黑" w:hAnsi="微软雅黑" w:eastAsia="微软雅黑" w:cs="微软雅黑"/>
      <w:b/>
      <w:bCs/>
      <w:spacing w:val="8"/>
      <w:kern w:val="44"/>
      <w:sz w:val="36"/>
      <w:szCs w:val="36"/>
      <w:shd w:val="clear" w:color="auto" w:fill="FFFFFF"/>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tabs>
        <w:tab w:val="center" w:pos="4153"/>
        <w:tab w:val="right" w:pos="8306"/>
      </w:tabs>
      <w:snapToGrid w:val="0"/>
      <w:jc w:val="center"/>
    </w:pPr>
    <w:rPr>
      <w:sz w:val="18"/>
      <w:szCs w:val="18"/>
    </w:rPr>
  </w:style>
  <w:style w:type="paragraph" w:styleId="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Strong"/>
    <w:basedOn w:val="8"/>
    <w:autoRedefine/>
    <w:qFormat/>
    <w:uiPriority w:val="22"/>
    <w:rPr>
      <w:b/>
    </w:rPr>
  </w:style>
  <w:style w:type="character" w:styleId="10">
    <w:name w:val="Emphasis"/>
    <w:basedOn w:val="8"/>
    <w:autoRedefine/>
    <w:qFormat/>
    <w:uiPriority w:val="0"/>
    <w:rPr>
      <w:i/>
    </w:rPr>
  </w:style>
  <w:style w:type="character" w:styleId="11">
    <w:name w:val="Hyperlink"/>
    <w:basedOn w:val="8"/>
    <w:autoRedefine/>
    <w:unhideWhenUsed/>
    <w:qFormat/>
    <w:uiPriority w:val="99"/>
    <w:rPr>
      <w:color w:val="0000FF"/>
      <w:u w:val="single"/>
    </w:rPr>
  </w:style>
  <w:style w:type="character" w:customStyle="1" w:styleId="12">
    <w:name w:val="页眉 字符"/>
    <w:basedOn w:val="8"/>
    <w:link w:val="4"/>
    <w:qFormat/>
    <w:uiPriority w:val="0"/>
    <w:rPr>
      <w:rFonts w:asciiTheme="minorHAnsi" w:hAnsiTheme="minorHAnsi" w:eastAsiaTheme="minorEastAsia" w:cstheme="minorBidi"/>
      <w:kern w:val="2"/>
      <w:sz w:val="18"/>
      <w:szCs w:val="18"/>
    </w:rPr>
  </w:style>
  <w:style w:type="character" w:customStyle="1" w:styleId="13">
    <w:name w:val="页脚 字符"/>
    <w:basedOn w:val="8"/>
    <w:link w:val="3"/>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3460</Words>
  <Characters>3562</Characters>
  <Lines>26</Lines>
  <Paragraphs>7</Paragraphs>
  <TotalTime>3</TotalTime>
  <ScaleCrop>false</ScaleCrop>
  <LinksUpToDate>false</LinksUpToDate>
  <CharactersWithSpaces>3565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2025-06-27T09:54:00Z</dcterms:created>
  <dc:creator>Administrator</dc:creator>
  <cp:lastModifiedBy>Yan</cp:lastModifiedBy>
  <dcterms:modified xsi:type="dcterms:W3CDTF">2025-11-05T07:54:06Z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8662378156F24B36BB61945AEDD23107_13</vt:lpwstr>
  </property>
  <property fmtid="{D5CDD505-2E9C-101B-9397-08002B2CF9AE}" pid="4" name="KSOTemplateDocerSaveRecord">
    <vt:lpwstr>eyJoZGlkIjoiYjgwMTUwZjk3YjY4NWY1ZGM3ZWRiNjcyZTMwMmI2NzgiLCJ1c2VySWQiOiIxMDgxNjIyNjk3In0=</vt:lpwstr>
  </property>
</Properties>
</file>