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120"/>
        <w:jc w:val="center"/>
        <w:rPr>
          <w:rFonts w:ascii="微软雅黑" w:hAnsi="微软雅黑" w:eastAsia="微软雅黑" w:cs="微软雅黑"/>
          <w:b/>
          <w:bCs/>
          <w:color w:val="3B3838" w:themeColor="background2" w:themeShade="40"/>
          <w:sz w:val="36"/>
          <w:szCs w:val="48"/>
        </w:rPr>
      </w:pPr>
      <w:r>
        <w:rPr>
          <w:rFonts w:hint="eastAsia" w:ascii="微软雅黑" w:hAnsi="微软雅黑" w:eastAsia="微软雅黑"/>
          <w:b/>
          <w:bCs/>
          <w:color w:val="FF5B09"/>
          <w:sz w:val="48"/>
          <w:szCs w:val="48"/>
        </w:rPr>
        <w:t>关键岗位人才盘点与人才梯队建设</w:t>
      </w: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 w:cs="宋体"/>
          <w:b/>
          <w:color w:val="3B3838" w:themeColor="background2" w:themeShade="40"/>
          <w:spacing w:val="15"/>
          <w:kern w:val="0"/>
          <w:sz w:val="22"/>
          <w:szCs w:val="24"/>
        </w:rPr>
      </w:pP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课程背景</w:t>
      </w: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伴随着经济环境不确定性的增加，组织内部缺乏人才账本、管理人才断层、高潜人才大量流失等状况频发，企业和业务部门普遍感受到了严峻的人才挑战，要解决人才需求旺盛和人才供给短缺间的矛盾，就必须建立一套持续稳定的人才供应链生态圈，打造一支内部“来之能战，战之必胜”的人才队伍；</w:t>
      </w: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/>
        </w:rPr>
      </w:pP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人对了，事基本就成了，人才的选拔尤其重要，而梯队人才队伍建设是战略落地和业务目标达成的关键，只有全力投入识别、选拔、培养和评估未来人才的企业，才能够应对来自市场竞争和人才竞争的双重挑战，持续保持领先。</w:t>
      </w:r>
    </w:p>
    <w:p>
      <w:pPr>
        <w:widowControl/>
        <w:shd w:val="clear" w:color="auto" w:fill="FFFFFF"/>
        <w:spacing w:line="360" w:lineRule="auto"/>
        <w:ind w:right="120" w:rightChars="57" w:firstLine="315" w:firstLineChars="150"/>
        <w:rPr>
          <w:rFonts w:ascii="微软雅黑" w:hAnsi="微软雅黑" w:eastAsia="微软雅黑" w:cs="宋体"/>
          <w:color w:val="3B3838" w:themeColor="background2" w:themeShade="40"/>
          <w:spacing w:val="15"/>
          <w:kern w:val="0"/>
          <w:sz w:val="18"/>
        </w:rPr>
      </w:pPr>
      <w:r>
        <w:rPr>
          <w:rFonts w:hint="eastAsia" w:ascii="微软雅黑" w:hAnsi="微软雅黑" w:eastAsia="微软雅黑" w:cs="宋体"/>
          <w:color w:val="3B3838" w:themeColor="background2" w:themeShade="40"/>
          <w:spacing w:val="15"/>
          <w:kern w:val="0"/>
          <w:sz w:val="18"/>
        </w:rPr>
        <w:t xml:space="preserve"> </w:t>
      </w:r>
      <w:r>
        <w:rPr>
          <w:rFonts w:ascii="微软雅黑" w:hAnsi="微软雅黑" w:eastAsia="微软雅黑" w:cs="宋体"/>
          <w:color w:val="3B3838" w:themeColor="background2" w:themeShade="40"/>
          <w:spacing w:val="15"/>
          <w:kern w:val="0"/>
          <w:sz w:val="18"/>
        </w:rPr>
        <w:t xml:space="preserve">                       </w:t>
      </w: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课程收益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line="276" w:lineRule="auto"/>
        <w:ind w:right="120" w:rightChars="57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能够站在组织的视角，厘清组织战略与人才战略的关系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line="276" w:lineRule="auto"/>
        <w:ind w:right="120" w:rightChars="57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建立组织人才梯队和人才管理的全局性和系统性思维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line="276" w:lineRule="auto"/>
        <w:ind w:right="120" w:rightChars="57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了解企业内部实施人才盘点的底层逻辑和价值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line="276" w:lineRule="auto"/>
        <w:ind w:right="120" w:rightChars="57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能够运用业务语言与业务部门达成共识，赢得业务的理解和支持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line="276" w:lineRule="auto"/>
        <w:ind w:right="120" w:rightChars="57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能够建立和澄清人才标准、在人才盘点中使用合适的评价方法和工具</w:t>
      </w:r>
    </w:p>
    <w:p>
      <w:pPr>
        <w:pStyle w:val="11"/>
        <w:numPr>
          <w:ilvl w:val="0"/>
          <w:numId w:val="1"/>
        </w:numPr>
        <w:spacing w:line="276" w:lineRule="auto"/>
        <w:ind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识别内部关键岗位并掌握关键人才加速成长和发展的有效策略；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line="276" w:lineRule="auto"/>
        <w:ind w:right="120" w:rightChars="57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掌握一套实用落地、实操性强的人才盘点与梯队建设实践工具和方法</w:t>
      </w:r>
    </w:p>
    <w:p>
      <w:pPr>
        <w:pStyle w:val="11"/>
        <w:widowControl/>
        <w:shd w:val="clear" w:color="auto" w:fill="FFFFFF"/>
        <w:spacing w:line="276" w:lineRule="auto"/>
        <w:ind w:left="440" w:right="120" w:rightChars="57" w:firstLine="0" w:firstLineChars="0"/>
        <w:rPr>
          <w:rFonts w:ascii="微软雅黑" w:hAnsi="微软雅黑" w:eastAsia="微软雅黑"/>
          <w:szCs w:val="24"/>
        </w:rPr>
      </w:pP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课程亮点</w:t>
      </w:r>
    </w:p>
    <w:p>
      <w:pPr>
        <w:pStyle w:val="11"/>
        <w:numPr>
          <w:ilvl w:val="0"/>
          <w:numId w:val="2"/>
        </w:numPr>
        <w:shd w:val="clear" w:color="auto" w:fill="FFFFFF"/>
        <w:spacing w:line="276" w:lineRule="auto"/>
        <w:ind w:firstLineChars="0"/>
        <w:textAlignment w:val="center"/>
        <w:rPr>
          <w:rFonts w:ascii="微软雅黑" w:hAnsi="微软雅黑" w:eastAsia="微软雅黑" w:cs="宋体"/>
          <w:color w:val="3B3838" w:themeColor="background2" w:themeShade="40"/>
          <w:spacing w:val="15"/>
          <w:kern w:val="0"/>
          <w:sz w:val="18"/>
        </w:rPr>
      </w:pPr>
      <w:r>
        <w:rPr>
          <w:rFonts w:hint="eastAsia" w:ascii="微软雅黑" w:hAnsi="微软雅黑" w:eastAsia="微软雅黑"/>
          <w:b/>
          <w:color w:val="FF5B09"/>
          <w:sz w:val="24"/>
          <w:szCs w:val="24"/>
        </w:rPr>
        <w:t>系统方法：</w:t>
      </w:r>
      <w:r>
        <w:rPr>
          <w:rFonts w:hint="eastAsia" w:ascii="微软雅黑" w:hAnsi="微软雅黑" w:eastAsia="微软雅黑"/>
          <w:szCs w:val="24"/>
        </w:rPr>
        <w:t>从底层逻辑到顶层设计，掌握从0-1构建人才梯队的方法流程</w:t>
      </w:r>
    </w:p>
    <w:p>
      <w:pPr>
        <w:pStyle w:val="11"/>
        <w:numPr>
          <w:ilvl w:val="0"/>
          <w:numId w:val="2"/>
        </w:numPr>
        <w:shd w:val="clear" w:color="auto" w:fill="FFFFFF"/>
        <w:spacing w:line="276" w:lineRule="auto"/>
        <w:ind w:firstLineChars="0"/>
        <w:textAlignment w:val="center"/>
        <w:rPr>
          <w:rFonts w:ascii="微软雅黑" w:hAnsi="微软雅黑" w:eastAsia="微软雅黑" w:cs="宋体"/>
          <w:color w:val="3B3838" w:themeColor="background2" w:themeShade="40"/>
          <w:spacing w:val="15"/>
          <w:kern w:val="0"/>
          <w:sz w:val="18"/>
        </w:rPr>
      </w:pPr>
      <w:r>
        <w:rPr>
          <w:rFonts w:hint="eastAsia" w:ascii="微软雅黑" w:hAnsi="微软雅黑" w:eastAsia="微软雅黑"/>
          <w:b/>
          <w:color w:val="FF5B09"/>
          <w:sz w:val="24"/>
          <w:szCs w:val="24"/>
        </w:rPr>
        <w:t>紧贴业务：</w:t>
      </w:r>
      <w:r>
        <w:rPr>
          <w:rFonts w:hint="eastAsia" w:ascii="微软雅黑" w:hAnsi="微软雅黑" w:eastAsia="微软雅黑"/>
          <w:szCs w:val="24"/>
        </w:rPr>
        <w:t>站在组织和业务视角，运用业务语言推动人才盘点和梯队建设在企业落地</w:t>
      </w:r>
    </w:p>
    <w:p>
      <w:pPr>
        <w:pStyle w:val="11"/>
        <w:numPr>
          <w:ilvl w:val="0"/>
          <w:numId w:val="2"/>
        </w:numPr>
        <w:shd w:val="clear" w:color="auto" w:fill="FFFFFF"/>
        <w:spacing w:line="276" w:lineRule="auto"/>
        <w:ind w:firstLineChars="0"/>
        <w:textAlignment w:val="center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b/>
          <w:color w:val="FF5B09"/>
          <w:sz w:val="24"/>
          <w:szCs w:val="24"/>
        </w:rPr>
        <w:t>案例丰富：</w:t>
      </w:r>
      <w:r>
        <w:rPr>
          <w:rFonts w:hint="eastAsia" w:ascii="微软雅黑" w:hAnsi="微软雅黑" w:eastAsia="微软雅黑"/>
          <w:szCs w:val="24"/>
        </w:rPr>
        <w:t>融入全球</w:t>
      </w:r>
      <w:r>
        <w:rPr>
          <w:rFonts w:ascii="微软雅黑" w:hAnsi="微软雅黑" w:eastAsia="微软雅黑"/>
          <w:szCs w:val="24"/>
        </w:rPr>
        <w:t>TOP</w:t>
      </w:r>
      <w:r>
        <w:rPr>
          <w:rFonts w:hint="eastAsia" w:ascii="微软雅黑" w:hAnsi="微软雅黑" w:eastAsia="微软雅黑"/>
          <w:szCs w:val="24"/>
        </w:rPr>
        <w:t>企业最佳实践，用真实、场景化的案例实用易懂的传递给学员</w:t>
      </w:r>
    </w:p>
    <w:p>
      <w:pPr>
        <w:pStyle w:val="11"/>
        <w:numPr>
          <w:ilvl w:val="0"/>
          <w:numId w:val="2"/>
        </w:numPr>
        <w:shd w:val="clear" w:color="auto" w:fill="FFFFFF"/>
        <w:spacing w:line="276" w:lineRule="auto"/>
        <w:ind w:firstLineChars="0"/>
        <w:textAlignment w:val="center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b/>
          <w:color w:val="FF5B09"/>
          <w:sz w:val="24"/>
          <w:szCs w:val="24"/>
        </w:rPr>
        <w:t>实战落地：</w:t>
      </w:r>
      <w:r>
        <w:rPr>
          <w:rFonts w:hint="eastAsia" w:ascii="微软雅黑" w:hAnsi="微软雅黑" w:eastAsia="微软雅黑"/>
          <w:szCs w:val="24"/>
        </w:rPr>
        <w:t>提供一套完整落地工具包，易学易懂，拿来即用</w:t>
      </w:r>
    </w:p>
    <w:p>
      <w:pPr>
        <w:spacing w:line="360" w:lineRule="auto"/>
        <w:jc w:val="left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课程工具模板</w:t>
      </w:r>
    </w:p>
    <w:p>
      <w:pPr>
        <w:pStyle w:val="11"/>
        <w:numPr>
          <w:ilvl w:val="0"/>
          <w:numId w:val="3"/>
        </w:numPr>
        <w:spacing w:line="460" w:lineRule="exact"/>
        <w:ind w:leftChars="100" w:firstLineChars="0"/>
        <w:jc w:val="left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《岗位影响力及风险评估表》</w:t>
      </w:r>
    </w:p>
    <w:p>
      <w:pPr>
        <w:pStyle w:val="11"/>
        <w:numPr>
          <w:ilvl w:val="0"/>
          <w:numId w:val="3"/>
        </w:numPr>
        <w:spacing w:line="460" w:lineRule="exact"/>
        <w:ind w:leftChars="100" w:firstLineChars="0"/>
        <w:jc w:val="left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《关键岗位人才盘点表》</w:t>
      </w:r>
    </w:p>
    <w:p>
      <w:pPr>
        <w:pStyle w:val="11"/>
        <w:numPr>
          <w:ilvl w:val="0"/>
          <w:numId w:val="3"/>
        </w:numPr>
        <w:spacing w:line="460" w:lineRule="exact"/>
        <w:ind w:leftChars="100" w:firstLineChars="0"/>
        <w:jc w:val="left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《高潜人才潜力评估表》</w:t>
      </w:r>
    </w:p>
    <w:p>
      <w:pPr>
        <w:pStyle w:val="11"/>
        <w:numPr>
          <w:ilvl w:val="0"/>
          <w:numId w:val="3"/>
        </w:numPr>
        <w:spacing w:line="460" w:lineRule="exact"/>
        <w:ind w:leftChars="100" w:firstLineChars="0"/>
        <w:jc w:val="left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《空缺关键岗位填补策略表》</w:t>
      </w:r>
    </w:p>
    <w:p>
      <w:pPr>
        <w:pStyle w:val="11"/>
        <w:numPr>
          <w:ilvl w:val="0"/>
          <w:numId w:val="3"/>
        </w:numPr>
        <w:spacing w:line="460" w:lineRule="exact"/>
        <w:ind w:leftChars="100" w:firstLineChars="0"/>
        <w:jc w:val="left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《个人盘点报告模板》</w:t>
      </w:r>
    </w:p>
    <w:p>
      <w:pPr>
        <w:pStyle w:val="11"/>
        <w:numPr>
          <w:ilvl w:val="0"/>
          <w:numId w:val="3"/>
        </w:numPr>
        <w:spacing w:line="460" w:lineRule="exact"/>
        <w:ind w:leftChars="100" w:firstLineChars="0"/>
        <w:jc w:val="left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《员工发展档案表》</w:t>
      </w:r>
    </w:p>
    <w:p>
      <w:pPr>
        <w:pStyle w:val="11"/>
        <w:numPr>
          <w:ilvl w:val="0"/>
          <w:numId w:val="3"/>
        </w:numPr>
        <w:spacing w:line="460" w:lineRule="exact"/>
        <w:ind w:leftChars="100" w:firstLineChars="0"/>
        <w:jc w:val="left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《关键岗位“在职者”分析表》</w:t>
      </w: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课程对象</w:t>
      </w:r>
    </w:p>
    <w:p>
      <w:pPr>
        <w:pStyle w:val="11"/>
        <w:numPr>
          <w:ilvl w:val="0"/>
          <w:numId w:val="4"/>
        </w:numPr>
        <w:shd w:val="clear" w:color="auto" w:fill="FFFFFF"/>
        <w:spacing w:line="276" w:lineRule="auto"/>
        <w:ind w:firstLineChars="0"/>
        <w:textAlignment w:val="center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人力资源各层级管理者；</w:t>
      </w:r>
    </w:p>
    <w:p>
      <w:pPr>
        <w:pStyle w:val="11"/>
        <w:numPr>
          <w:ilvl w:val="0"/>
          <w:numId w:val="4"/>
        </w:numPr>
        <w:shd w:val="clear" w:color="auto" w:fill="FFFFFF"/>
        <w:spacing w:line="276" w:lineRule="auto"/>
        <w:ind w:firstLineChars="0"/>
        <w:textAlignment w:val="center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各部门中高层管理人员；</w:t>
      </w:r>
    </w:p>
    <w:p>
      <w:pPr>
        <w:pStyle w:val="11"/>
        <w:numPr>
          <w:ilvl w:val="0"/>
          <w:numId w:val="4"/>
        </w:numPr>
        <w:shd w:val="clear" w:color="auto" w:fill="FFFFFF"/>
        <w:spacing w:line="276" w:lineRule="auto"/>
        <w:ind w:firstLineChars="0"/>
        <w:textAlignment w:val="center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培训、学习发展、人才发展、组织发展等相关人员</w:t>
      </w:r>
    </w:p>
    <w:p>
      <w:pPr>
        <w:spacing w:line="360" w:lineRule="auto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【课程时</w:t>
      </w:r>
      <w:r>
        <w:rPr>
          <w:rFonts w:ascii="微软雅黑" w:hAnsi="微软雅黑" w:eastAsia="微软雅黑"/>
          <w:b/>
          <w:color w:val="FF5B09"/>
          <w:sz w:val="30"/>
          <w:szCs w:val="30"/>
        </w:rPr>
        <w:t>长</w:t>
      </w: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】：</w:t>
      </w:r>
      <w:r>
        <w:rPr>
          <w:rFonts w:ascii="微软雅黑" w:hAnsi="微软雅黑" w:eastAsia="微软雅黑"/>
          <w:b/>
          <w:bCs/>
        </w:rPr>
        <w:t>两天</w:t>
      </w:r>
      <w:r>
        <w:rPr>
          <w:rFonts w:hint="eastAsia" w:ascii="微软雅黑" w:hAnsi="微软雅黑" w:eastAsia="微软雅黑"/>
          <w:b/>
          <w:bCs/>
        </w:rPr>
        <w:t>线下课，6小时/天，合计1</w:t>
      </w:r>
      <w:r>
        <w:rPr>
          <w:rFonts w:ascii="微软雅黑" w:hAnsi="微软雅黑" w:eastAsia="微软雅黑"/>
          <w:b/>
          <w:bCs/>
        </w:rPr>
        <w:t>2</w:t>
      </w:r>
      <w:r>
        <w:rPr>
          <w:rFonts w:hint="eastAsia" w:ascii="微软雅黑" w:hAnsi="微软雅黑" w:eastAsia="微软雅黑"/>
          <w:b/>
          <w:bCs/>
        </w:rPr>
        <w:t>小时</w:t>
      </w:r>
    </w:p>
    <w:p>
      <w:pPr>
        <w:spacing w:line="360" w:lineRule="auto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【学习费用】：</w:t>
      </w:r>
      <w:r>
        <w:rPr>
          <w:rFonts w:ascii="微软雅黑" w:hAnsi="微软雅黑" w:eastAsia="微软雅黑"/>
        </w:rPr>
        <w:t>课程市场指导价</w:t>
      </w:r>
      <w:r>
        <w:rPr>
          <w:rFonts w:hint="eastAsia" w:ascii="微软雅黑" w:hAnsi="微软雅黑" w:eastAsia="微软雅黑"/>
        </w:rPr>
        <w:t>9</w:t>
      </w:r>
      <w:r>
        <w:rPr>
          <w:rFonts w:ascii="微软雅黑" w:hAnsi="微软雅黑" w:eastAsia="微软雅黑"/>
        </w:rPr>
        <w:t>800元</w:t>
      </w:r>
      <w:r>
        <w:rPr>
          <w:rFonts w:hint="eastAsia" w:ascii="微软雅黑" w:hAnsi="微软雅黑" w:eastAsia="微软雅黑"/>
        </w:rPr>
        <w:t>/</w:t>
      </w:r>
      <w:r>
        <w:rPr>
          <w:rFonts w:ascii="微软雅黑" w:hAnsi="微软雅黑" w:eastAsia="微软雅黑"/>
        </w:rPr>
        <w:t>人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  <w:b/>
          <w:bCs/>
          <w:sz w:val="24"/>
          <w:szCs w:val="28"/>
        </w:rPr>
        <w:t>现在报名优惠价5280元</w:t>
      </w:r>
      <w:r>
        <w:rPr>
          <w:rFonts w:hint="eastAsia" w:ascii="微软雅黑" w:hAnsi="微软雅黑" w:eastAsia="微软雅黑"/>
          <w:b/>
          <w:bCs/>
          <w:sz w:val="24"/>
          <w:szCs w:val="28"/>
        </w:rPr>
        <w:t>/</w:t>
      </w:r>
      <w:r>
        <w:rPr>
          <w:rFonts w:ascii="微软雅黑" w:hAnsi="微软雅黑" w:eastAsia="微软雅黑"/>
          <w:b/>
          <w:bCs/>
          <w:sz w:val="24"/>
          <w:szCs w:val="28"/>
        </w:rPr>
        <w:t>人</w:t>
      </w:r>
    </w:p>
    <w:p>
      <w:pPr>
        <w:spacing w:line="360" w:lineRule="auto"/>
        <w:rPr>
          <w:rFonts w:ascii="微软雅黑" w:hAnsi="微软雅黑" w:eastAsia="微软雅黑"/>
          <w:b/>
          <w:bCs/>
          <w:sz w:val="22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 xml:space="preserve"> </w:t>
      </w:r>
      <w:r>
        <w:rPr>
          <w:rFonts w:ascii="微软雅黑" w:hAnsi="微软雅黑" w:eastAsia="微软雅黑"/>
          <w:b/>
          <w:bCs/>
          <w:sz w:val="24"/>
          <w:szCs w:val="28"/>
        </w:rPr>
        <w:t xml:space="preserve">           </w:t>
      </w:r>
      <w:r>
        <w:rPr>
          <w:rFonts w:ascii="微软雅黑" w:hAnsi="微软雅黑" w:eastAsia="微软雅黑"/>
          <w:b/>
          <w:bCs/>
          <w:sz w:val="22"/>
          <w:szCs w:val="24"/>
        </w:rPr>
        <w:t xml:space="preserve"> </w:t>
      </w:r>
      <w:r>
        <w:rPr>
          <w:rFonts w:hint="eastAsia" w:ascii="微软雅黑" w:hAnsi="微软雅黑" w:eastAsia="微软雅黑"/>
          <w:b/>
          <w:bCs/>
          <w:sz w:val="22"/>
          <w:szCs w:val="24"/>
        </w:rPr>
        <w:t>提前20天报名早鸟价/</w:t>
      </w:r>
      <w:r>
        <w:rPr>
          <w:rFonts w:ascii="微软雅黑" w:hAnsi="微软雅黑" w:eastAsia="微软雅黑"/>
          <w:b/>
          <w:bCs/>
          <w:sz w:val="22"/>
          <w:szCs w:val="24"/>
        </w:rPr>
        <w:t>3</w:t>
      </w:r>
      <w:r>
        <w:rPr>
          <w:rFonts w:hint="eastAsia" w:ascii="微软雅黑" w:hAnsi="微软雅黑" w:eastAsia="微软雅黑"/>
          <w:b/>
          <w:bCs/>
          <w:sz w:val="22"/>
          <w:szCs w:val="24"/>
        </w:rPr>
        <w:t>人及以上人员同行团购价，再优惠！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包含</w:t>
      </w:r>
      <w:r>
        <w:rPr>
          <w:rFonts w:hint="eastAsia" w:ascii="微软雅黑" w:hAnsi="微软雅黑" w:eastAsia="微软雅黑"/>
        </w:rPr>
        <w:t>：场地费，授课费，手册印刷费，税费，</w:t>
      </w:r>
      <w:r>
        <w:rPr>
          <w:rFonts w:ascii="微软雅黑" w:hAnsi="微软雅黑" w:eastAsia="微软雅黑"/>
        </w:rPr>
        <w:t>午餐费</w:t>
      </w:r>
      <w:r>
        <w:rPr>
          <w:rFonts w:hint="eastAsia" w:ascii="微软雅黑" w:hAnsi="微软雅黑" w:eastAsia="微软雅黑"/>
        </w:rPr>
        <w:t>，下午茶歇等费用；差旅费自理！</w:t>
      </w:r>
    </w:p>
    <w:p>
      <w:pPr>
        <w:widowControl/>
        <w:shd w:val="clear" w:color="auto" w:fill="FFFFFF"/>
        <w:spacing w:line="360" w:lineRule="auto"/>
        <w:ind w:right="120" w:rightChars="57"/>
        <w:rPr>
          <w:rFonts w:ascii="微软雅黑" w:hAnsi="微软雅黑" w:eastAsia="微软雅黑" w:cs="宋体"/>
          <w:color w:val="3B3838" w:themeColor="background2" w:themeShade="40"/>
          <w:spacing w:val="15"/>
          <w:kern w:val="0"/>
          <w:sz w:val="18"/>
        </w:rPr>
      </w:pPr>
    </w:p>
    <w:p>
      <w:pPr>
        <w:pStyle w:val="11"/>
        <w:spacing w:line="360" w:lineRule="auto"/>
        <w:ind w:firstLine="0" w:firstLineChars="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【课程大纲】</w:t>
      </w:r>
    </w:p>
    <w:p>
      <w:pPr>
        <w:spacing w:line="360" w:lineRule="auto"/>
        <w:ind w:left="21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课程导入：</w:t>
      </w:r>
    </w:p>
    <w:p>
      <w:pPr>
        <w:pStyle w:val="11"/>
        <w:numPr>
          <w:ilvl w:val="0"/>
          <w:numId w:val="5"/>
        </w:numPr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企业关键岗位人才储备数据洞察</w:t>
      </w:r>
    </w:p>
    <w:p>
      <w:pPr>
        <w:pStyle w:val="11"/>
        <w:numPr>
          <w:ilvl w:val="0"/>
          <w:numId w:val="5"/>
        </w:numPr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企业在人才梯队建设中的问题和挑战</w:t>
      </w:r>
    </w:p>
    <w:p>
      <w:pPr>
        <w:pStyle w:val="11"/>
        <w:numPr>
          <w:ilvl w:val="0"/>
          <w:numId w:val="5"/>
        </w:numPr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组织期待的人才梯队特征</w:t>
      </w:r>
    </w:p>
    <w:p>
      <w:pPr>
        <w:pStyle w:val="11"/>
        <w:numPr>
          <w:ilvl w:val="0"/>
          <w:numId w:val="5"/>
        </w:numPr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案例：人才管理中不容忽视的真相</w:t>
      </w:r>
    </w:p>
    <w:p>
      <w:pPr>
        <w:pStyle w:val="11"/>
        <w:ind w:left="650" w:firstLine="0" w:firstLineChars="0"/>
        <w:rPr>
          <w:rFonts w:ascii="微软雅黑" w:hAnsi="微软雅黑" w:eastAsia="微软雅黑" w:cs="宋体"/>
          <w:bCs/>
          <w:color w:val="3B3838" w:themeColor="background2" w:themeShade="40"/>
          <w:spacing w:val="15"/>
          <w:kern w:val="0"/>
          <w:sz w:val="24"/>
          <w:szCs w:val="24"/>
        </w:rPr>
      </w:pPr>
    </w:p>
    <w:p>
      <w:pPr>
        <w:spacing w:line="360" w:lineRule="auto"/>
        <w:ind w:left="21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第一部分</w:t>
      </w:r>
      <w:r>
        <w:rPr>
          <w:rFonts w:ascii="微软雅黑" w:hAnsi="微软雅黑" w:eastAsia="微软雅黑"/>
          <w:b/>
          <w:color w:val="FF5B09"/>
          <w:sz w:val="30"/>
          <w:szCs w:val="30"/>
        </w:rPr>
        <w:t>：</w:t>
      </w: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人才梯队管理体系和关键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什么是人才梯队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人才供应链管理生态圈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人才梯队建设成功影响因素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人才梯队建设5大管理体系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人才梯队建设的逻辑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人才梯队建设中各方职责</w:t>
      </w:r>
    </w:p>
    <w:p>
      <w:pPr>
        <w:pStyle w:val="11"/>
        <w:spacing w:line="276" w:lineRule="auto"/>
        <w:ind w:left="630" w:firstLine="0" w:firstLineChars="0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auto"/>
        <w:ind w:left="21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第二部分：组织与人才需求规划分析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组织战略和业务需求分析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从组织战略到人才战略的逻辑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从未来业务看组织关键人才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从未来业务看组织人才结构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正确认识人才盘点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什么是人才盘点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人才盘点的价值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人才盘点的6大关键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人才盘点范围和内容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从经营和业务视角看人才盘点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不同场景的人才盘点内容及重点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组织关键岗位识别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锁定“少数关键”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什么是关键岗位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从组织战略到关键岗位识别逻辑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关键岗位判定维度和标准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关键岗位匹配度分析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人才结构分析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人才结构分析3大维度</w:t>
      </w:r>
    </w:p>
    <w:p>
      <w:pPr>
        <w:pStyle w:val="11"/>
        <w:numPr>
          <w:ilvl w:val="1"/>
          <w:numId w:val="7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警惕6种病态人才结构</w:t>
      </w:r>
    </w:p>
    <w:p>
      <w:pPr>
        <w:pStyle w:val="11"/>
        <w:spacing w:line="276" w:lineRule="auto"/>
        <w:ind w:left="860" w:firstLine="0" w:firstLineChars="0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ind w:left="21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第三部分：人才盘点评估内容和方法</w:t>
      </w:r>
    </w:p>
    <w:p>
      <w:pPr>
        <w:pStyle w:val="11"/>
        <w:numPr>
          <w:ilvl w:val="0"/>
          <w:numId w:val="8"/>
        </w:numPr>
        <w:spacing w:line="276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标准体系建设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构建关键人才画像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敏捷能力建模方法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领导力通用能力模型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绩效评估常见问题及解决策略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通用潜力模型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“能力标准”和“绩效评估”不健全时，如何评估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不同企业人才评估维度</w:t>
      </w:r>
    </w:p>
    <w:p>
      <w:pPr>
        <w:pStyle w:val="11"/>
        <w:numPr>
          <w:ilvl w:val="0"/>
          <w:numId w:val="8"/>
        </w:numPr>
        <w:spacing w:line="276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评价体系建设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绩效评估关键和方法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能力评估关键和方法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潜力评估关键和方法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ascii="微软雅黑" w:hAnsi="微软雅黑" w:eastAsia="微软雅黑"/>
          <w:szCs w:val="21"/>
        </w:rPr>
        <w:t>60</w:t>
      </w:r>
      <w:r>
        <w:rPr>
          <w:rFonts w:hint="eastAsia" w:ascii="微软雅黑" w:hAnsi="微软雅黑" w:eastAsia="微软雅黑"/>
          <w:szCs w:val="21"/>
        </w:rPr>
        <w:t>度全景评估设定与定位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能力评分关键要点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测评工具选择要点</w:t>
      </w:r>
    </w:p>
    <w:p>
      <w:pPr>
        <w:pStyle w:val="11"/>
        <w:numPr>
          <w:ilvl w:val="0"/>
          <w:numId w:val="8"/>
        </w:numPr>
        <w:spacing w:line="276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关键岗位盘点体系建设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经典九宫格&amp;高潜九宫格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高潜九宫格使用5大策略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继任者&amp;高潜人才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关键岗位继任计划分析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关键人才岗位风险分析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关键人才准备度分析</w:t>
      </w:r>
    </w:p>
    <w:p>
      <w:pPr>
        <w:pStyle w:val="11"/>
        <w:numPr>
          <w:ilvl w:val="0"/>
          <w:numId w:val="8"/>
        </w:numPr>
        <w:spacing w:line="276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盘点数据分析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个体数据对比分析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输出个人发展报告</w:t>
      </w:r>
    </w:p>
    <w:p>
      <w:pPr>
        <w:pStyle w:val="11"/>
        <w:numPr>
          <w:ilvl w:val="1"/>
          <w:numId w:val="8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团队数据对比分析</w:t>
      </w:r>
    </w:p>
    <w:p>
      <w:pPr>
        <w:pStyle w:val="11"/>
        <w:spacing w:line="276" w:lineRule="auto"/>
        <w:ind w:left="860" w:firstLine="0" w:firstLineChars="0"/>
        <w:rPr>
          <w:rFonts w:ascii="微软雅黑" w:hAnsi="微软雅黑" w:eastAsia="微软雅黑"/>
          <w:szCs w:val="21"/>
        </w:rPr>
      </w:pPr>
    </w:p>
    <w:p>
      <w:pPr>
        <w:spacing w:line="360" w:lineRule="auto"/>
        <w:ind w:left="210"/>
        <w:rPr>
          <w:rFonts w:ascii="微软雅黑" w:hAnsi="微软雅黑" w:eastAsia="微软雅黑"/>
          <w:b/>
          <w:color w:val="FF5B09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第四部分：构建人才盘点运营体系</w:t>
      </w:r>
    </w:p>
    <w:p>
      <w:pPr>
        <w:pStyle w:val="11"/>
        <w:numPr>
          <w:ilvl w:val="0"/>
          <w:numId w:val="9"/>
        </w:numPr>
        <w:spacing w:line="276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盘点会议前准备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人才盘点赋能启动会的价值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如何开好人才盘点赋能启动会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盘点会议准备清单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业务部门人才盘点会资料准备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建立“员工发展档案表”</w:t>
      </w:r>
    </w:p>
    <w:p>
      <w:pPr>
        <w:pStyle w:val="11"/>
        <w:numPr>
          <w:ilvl w:val="0"/>
          <w:numId w:val="10"/>
        </w:numPr>
        <w:spacing w:line="276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实施人才盘点会议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盘点会议流程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打造盘点会议公正客观场域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盘点会议中各方角色分工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业务部门汇报内容标准和规范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人才盘点会议结果5大关键输出</w:t>
      </w:r>
    </w:p>
    <w:p>
      <w:pPr>
        <w:pStyle w:val="11"/>
        <w:numPr>
          <w:ilvl w:val="0"/>
          <w:numId w:val="10"/>
        </w:numPr>
        <w:spacing w:line="276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盘点会议后措施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盘点结果反馈方式及反馈内容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人才盘点结果6大应用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案例：某多元化企业人才盘点应用</w:t>
      </w:r>
    </w:p>
    <w:p>
      <w:pPr>
        <w:pStyle w:val="11"/>
        <w:numPr>
          <w:ilvl w:val="1"/>
          <w:numId w:val="10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九宫格加薪及发展策略</w:t>
      </w:r>
    </w:p>
    <w:p>
      <w:pPr>
        <w:pStyle w:val="11"/>
        <w:spacing w:line="276" w:lineRule="auto"/>
        <w:ind w:left="860" w:firstLine="0" w:firstLineChars="0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auto"/>
        <w:ind w:left="210"/>
        <w:rPr>
          <w:rFonts w:ascii="微软雅黑" w:hAnsi="微软雅黑" w:eastAsia="微软雅黑" w:cs="宋体"/>
          <w:b/>
          <w:color w:val="3B3838" w:themeColor="background2" w:themeShade="40"/>
          <w:spacing w:val="15"/>
          <w:kern w:val="0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30"/>
          <w:szCs w:val="30"/>
        </w:rPr>
        <w:t>第五部分：梯队人才管理与人才培养发展</w:t>
      </w:r>
    </w:p>
    <w:p>
      <w:pPr>
        <w:pStyle w:val="11"/>
        <w:numPr>
          <w:ilvl w:val="0"/>
          <w:numId w:val="11"/>
        </w:numPr>
        <w:spacing w:line="360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建立人才入库机制</w:t>
      </w:r>
    </w:p>
    <w:p>
      <w:pPr>
        <w:pStyle w:val="11"/>
        <w:numPr>
          <w:ilvl w:val="1"/>
          <w:numId w:val="12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目标岗位与后备岗位范围</w:t>
      </w:r>
    </w:p>
    <w:p>
      <w:pPr>
        <w:pStyle w:val="11"/>
        <w:numPr>
          <w:ilvl w:val="1"/>
          <w:numId w:val="12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人才储备数量分析</w:t>
      </w:r>
    </w:p>
    <w:p>
      <w:pPr>
        <w:pStyle w:val="11"/>
        <w:numPr>
          <w:ilvl w:val="1"/>
          <w:numId w:val="12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明确入库标准和组织内部评价</w:t>
      </w:r>
    </w:p>
    <w:p>
      <w:pPr>
        <w:pStyle w:val="11"/>
        <w:numPr>
          <w:ilvl w:val="1"/>
          <w:numId w:val="12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构建分层分类人才池</w:t>
      </w:r>
    </w:p>
    <w:p>
      <w:pPr>
        <w:pStyle w:val="11"/>
        <w:numPr>
          <w:ilvl w:val="0"/>
          <w:numId w:val="11"/>
        </w:numPr>
        <w:spacing w:line="360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梯队人才加速培养机制</w:t>
      </w:r>
    </w:p>
    <w:p>
      <w:pPr>
        <w:pStyle w:val="11"/>
        <w:numPr>
          <w:ilvl w:val="1"/>
          <w:numId w:val="13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九宫格中不同人群发展策略</w:t>
      </w:r>
    </w:p>
    <w:p>
      <w:pPr>
        <w:pStyle w:val="11"/>
        <w:numPr>
          <w:ilvl w:val="1"/>
          <w:numId w:val="13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不同层级学员发展重点及发展方式</w:t>
      </w:r>
    </w:p>
    <w:p>
      <w:pPr>
        <w:pStyle w:val="11"/>
        <w:numPr>
          <w:ilvl w:val="1"/>
          <w:numId w:val="13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不同梯队人才发展项目设计关键</w:t>
      </w:r>
    </w:p>
    <w:p>
      <w:pPr>
        <w:pStyle w:val="11"/>
        <w:numPr>
          <w:ilvl w:val="1"/>
          <w:numId w:val="13"/>
        </w:numPr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个人发展计划IDP制定和落地</w:t>
      </w:r>
    </w:p>
    <w:p>
      <w:pPr>
        <w:pStyle w:val="11"/>
        <w:numPr>
          <w:ilvl w:val="1"/>
          <w:numId w:val="13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“训练战”循环赋能人才培养模式</w:t>
      </w:r>
    </w:p>
    <w:p>
      <w:pPr>
        <w:pStyle w:val="11"/>
        <w:numPr>
          <w:ilvl w:val="1"/>
          <w:numId w:val="13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“经验学习”快速复制人才</w:t>
      </w:r>
    </w:p>
    <w:p>
      <w:pPr>
        <w:pStyle w:val="11"/>
        <w:numPr>
          <w:ilvl w:val="0"/>
          <w:numId w:val="11"/>
        </w:numPr>
        <w:spacing w:line="360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梯队人才发展项目案例</w:t>
      </w:r>
    </w:p>
    <w:p>
      <w:pPr>
        <w:pStyle w:val="11"/>
        <w:numPr>
          <w:ilvl w:val="1"/>
          <w:numId w:val="14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案例1：某上市新能源企业管培生培养发展项目</w:t>
      </w:r>
    </w:p>
    <w:p>
      <w:pPr>
        <w:pStyle w:val="11"/>
        <w:numPr>
          <w:ilvl w:val="1"/>
          <w:numId w:val="14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案例2：某变革转型期企业青年人才培养项目</w:t>
      </w:r>
    </w:p>
    <w:p>
      <w:pPr>
        <w:pStyle w:val="11"/>
        <w:numPr>
          <w:ilvl w:val="1"/>
          <w:numId w:val="14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案例3：某大型物流企业中层业务关键人才培养项目</w:t>
      </w:r>
    </w:p>
    <w:p>
      <w:pPr>
        <w:pStyle w:val="11"/>
        <w:numPr>
          <w:ilvl w:val="1"/>
          <w:numId w:val="14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案例4：某多元化企业中层人员I</w:t>
      </w:r>
      <w:r>
        <w:rPr>
          <w:rFonts w:ascii="微软雅黑" w:hAnsi="微软雅黑" w:eastAsia="微软雅黑"/>
          <w:szCs w:val="21"/>
        </w:rPr>
        <w:t>DP</w:t>
      </w:r>
      <w:r>
        <w:rPr>
          <w:rFonts w:hint="eastAsia" w:ascii="微软雅黑" w:hAnsi="微软雅黑" w:eastAsia="微软雅黑"/>
          <w:szCs w:val="21"/>
        </w:rPr>
        <w:t>实施项目</w:t>
      </w:r>
    </w:p>
    <w:p>
      <w:pPr>
        <w:pStyle w:val="11"/>
        <w:numPr>
          <w:ilvl w:val="0"/>
          <w:numId w:val="11"/>
        </w:numPr>
        <w:spacing w:line="360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人才库的管理和更新</w:t>
      </w:r>
    </w:p>
    <w:p>
      <w:pPr>
        <w:pStyle w:val="11"/>
        <w:numPr>
          <w:ilvl w:val="1"/>
          <w:numId w:val="15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人才培养机制</w:t>
      </w:r>
    </w:p>
    <w:p>
      <w:pPr>
        <w:pStyle w:val="11"/>
        <w:numPr>
          <w:ilvl w:val="1"/>
          <w:numId w:val="15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人才任用机制</w:t>
      </w:r>
    </w:p>
    <w:p>
      <w:pPr>
        <w:pStyle w:val="11"/>
        <w:numPr>
          <w:ilvl w:val="1"/>
          <w:numId w:val="15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人才内部流动机制</w:t>
      </w:r>
    </w:p>
    <w:p>
      <w:pPr>
        <w:pStyle w:val="11"/>
        <w:numPr>
          <w:ilvl w:val="1"/>
          <w:numId w:val="15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人才保护机制</w:t>
      </w:r>
    </w:p>
    <w:p>
      <w:pPr>
        <w:pStyle w:val="11"/>
        <w:numPr>
          <w:ilvl w:val="1"/>
          <w:numId w:val="15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人才库退出机制</w:t>
      </w:r>
    </w:p>
    <w:p>
      <w:pPr>
        <w:pStyle w:val="11"/>
        <w:numPr>
          <w:ilvl w:val="1"/>
          <w:numId w:val="15"/>
        </w:numPr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人才出库机制</w:t>
      </w:r>
    </w:p>
    <w:p>
      <w:pPr>
        <w:pStyle w:val="11"/>
        <w:numPr>
          <w:ilvl w:val="0"/>
          <w:numId w:val="11"/>
        </w:numPr>
        <w:spacing w:line="360" w:lineRule="auto"/>
        <w:ind w:firstLineChars="0"/>
        <w:rPr>
          <w:rFonts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B3838" w:themeColor="background2" w:themeShade="40"/>
          <w:spacing w:val="15"/>
          <w:kern w:val="0"/>
          <w:szCs w:val="21"/>
        </w:rPr>
        <w:t>业务战略下的人才梯队建设有效性衡量指标设定</w:t>
      </w: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bCs/>
          <w:color w:val="0070C0"/>
          <w:sz w:val="28"/>
          <w:szCs w:val="28"/>
        </w:rPr>
      </w:pP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bCs/>
          <w:color w:val="0070C0"/>
          <w:sz w:val="28"/>
          <w:szCs w:val="28"/>
        </w:rPr>
      </w:pP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bCs/>
          <w:color w:val="0070C0"/>
          <w:sz w:val="28"/>
          <w:szCs w:val="28"/>
        </w:rPr>
      </w:pP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bCs/>
          <w:color w:val="0070C0"/>
          <w:sz w:val="28"/>
          <w:szCs w:val="28"/>
        </w:rPr>
      </w:pPr>
    </w:p>
    <w:p>
      <w:pPr>
        <w:spacing w:line="460" w:lineRule="exact"/>
        <w:jc w:val="left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</w:p>
    <w:p>
      <w:pPr>
        <w:spacing w:line="460" w:lineRule="exact"/>
        <w:jc w:val="left"/>
        <w:rPr>
          <w:rFonts w:ascii="微软雅黑" w:hAnsi="微软雅黑" w:eastAsia="微软雅黑"/>
          <w:b/>
          <w:color w:val="FF5B09"/>
          <w:sz w:val="40"/>
          <w:szCs w:val="40"/>
        </w:rPr>
      </w:pPr>
      <w:bookmarkStart w:id="0" w:name="_Hlk149662607"/>
      <w:r>
        <w:rPr>
          <w:rFonts w:hint="eastAsia" w:ascii="微软雅黑" w:hAnsi="微软雅黑" w:eastAsia="微软雅黑"/>
          <w:b/>
          <w:color w:val="FF5B09"/>
          <w:sz w:val="40"/>
          <w:szCs w:val="40"/>
        </w:rPr>
        <w:t>讲师介绍</w:t>
      </w:r>
      <w:bookmarkEnd w:id="0"/>
      <w:bookmarkStart w:id="1" w:name="_Hlk83468370"/>
    </w:p>
    <w:p>
      <w:pPr>
        <w:widowControl/>
        <w:spacing w:before="156" w:beforeLines="50" w:line="460" w:lineRule="exact"/>
        <w:rPr>
          <w:rFonts w:ascii="微软雅黑" w:hAnsi="微软雅黑" w:eastAsia="微软雅黑" w:cs="微软雅黑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4019550</wp:posOffset>
            </wp:positionH>
            <wp:positionV relativeFrom="paragraph">
              <wp:posOffset>274320</wp:posOffset>
            </wp:positionV>
            <wp:extent cx="1999615" cy="2493010"/>
            <wp:effectExtent l="133350" t="114300" r="133985" b="17399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" b="780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493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老师 </w:t>
      </w:r>
    </w:p>
    <w:p>
      <w:pPr>
        <w:numPr>
          <w:ilvl w:val="0"/>
          <w:numId w:val="16"/>
        </w:numPr>
        <w:spacing w:line="276" w:lineRule="auto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原千亿级上市企业全球总部学习与发展总监</w:t>
      </w:r>
    </w:p>
    <w:p>
      <w:pPr>
        <w:widowControl/>
        <w:numPr>
          <w:ilvl w:val="0"/>
          <w:numId w:val="16"/>
        </w:numPr>
        <w:spacing w:line="276" w:lineRule="auto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20年企业人才发展与管理经验</w:t>
      </w:r>
    </w:p>
    <w:p>
      <w:pPr>
        <w:widowControl/>
        <w:numPr>
          <w:ilvl w:val="0"/>
          <w:numId w:val="16"/>
        </w:numPr>
        <w:spacing w:line="276" w:lineRule="auto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3家企业大学运营及管理经验</w:t>
      </w:r>
    </w:p>
    <w:p>
      <w:pPr>
        <w:widowControl/>
        <w:numPr>
          <w:ilvl w:val="0"/>
          <w:numId w:val="16"/>
        </w:numPr>
        <w:spacing w:line="276" w:lineRule="auto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领导力与人才发展高级顾问</w:t>
      </w:r>
    </w:p>
    <w:p>
      <w:pPr>
        <w:widowControl/>
        <w:numPr>
          <w:ilvl w:val="0"/>
          <w:numId w:val="16"/>
        </w:numPr>
        <w:spacing w:line="276" w:lineRule="auto"/>
        <w:rPr>
          <w:rFonts w:ascii="微软雅黑" w:hAnsi="微软雅黑" w:eastAsia="微软雅黑" w:cs="Times New Roman"/>
          <w:kern w:val="0"/>
          <w:szCs w:val="21"/>
        </w:rPr>
      </w:pPr>
      <w:bookmarkStart w:id="2" w:name="_Hlk96805669"/>
      <w:bookmarkStart w:id="3" w:name="_Hlk96805633"/>
      <w:r>
        <w:rPr>
          <w:rFonts w:hint="eastAsia" w:ascii="微软雅黑" w:hAnsi="微软雅黑" w:eastAsia="微软雅黑" w:cs="Times New Roman"/>
          <w:kern w:val="0"/>
          <w:szCs w:val="21"/>
        </w:rPr>
        <w:t>组织经验萃取与课程开发专家</w:t>
      </w:r>
    </w:p>
    <w:bookmarkEnd w:id="2"/>
    <w:p>
      <w:pPr>
        <w:widowControl/>
        <w:numPr>
          <w:ilvl w:val="0"/>
          <w:numId w:val="16"/>
        </w:numPr>
        <w:spacing w:line="276" w:lineRule="auto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“中国绿色能源产教融合发展联盟“智库专家</w:t>
      </w:r>
      <w:bookmarkEnd w:id="3"/>
    </w:p>
    <w:bookmarkEnd w:id="1"/>
    <w:p>
      <w:pPr>
        <w:widowControl/>
        <w:spacing w:line="460" w:lineRule="exact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讲师资历</w:t>
      </w:r>
    </w:p>
    <w:p>
      <w:pPr>
        <w:widowControl/>
        <w:spacing w:line="460" w:lineRule="exact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先后任职于500强半导体、汽车、新能源巨头等全球性TOP企业总部，担任学习与发展总监、企业大学运营管理总监、领导力学院院长、企业大学负责人等岗位。</w:t>
      </w:r>
    </w:p>
    <w:p>
      <w:pPr>
        <w:numPr>
          <w:ilvl w:val="0"/>
          <w:numId w:val="17"/>
        </w:numPr>
        <w:spacing w:before="156" w:beforeLines="50" w:line="276" w:lineRule="auto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负责多个组织级领导力学习项目设计开发和落地，筹建的企业大学和主导的学习项目曾多次获得“中国最佳学习型组织”、“中国最具成长性企业大学”、“中国优秀企业大学”、“中国学习与发展价值大奖”、“数字化最佳企业实践”、“中国人才发展菁英奖”等多项殊荣。</w:t>
      </w:r>
    </w:p>
    <w:p>
      <w:pPr>
        <w:numPr>
          <w:ilvl w:val="0"/>
          <w:numId w:val="17"/>
        </w:numPr>
        <w:spacing w:before="156" w:beforeLines="50" w:line="276" w:lineRule="auto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任职3家企业大学期间，带领团队完成企业大学5中心（案例中心、测评中心、行动学习中心、认证中心、运营中心） 的重要筹建和运营管理工作，并获得唯一一个职能部门“全球年度最佳团队”荣誉。</w:t>
      </w:r>
    </w:p>
    <w:p>
      <w:pPr>
        <w:numPr>
          <w:ilvl w:val="0"/>
          <w:numId w:val="17"/>
        </w:numPr>
        <w:spacing w:before="156" w:beforeLines="50" w:line="276" w:lineRule="auto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元老师拥有超过20年甲方丰富的实践工作经验外，还曾担任乙方知名培训机构人才研究院院长及产品总监等岗位，赋能内部培训顾问和销售团队成长，开发特色培训产品，为客户提供人才和培训综合性解决方案等。</w:t>
      </w:r>
    </w:p>
    <w:p>
      <w:pPr>
        <w:widowControl/>
        <w:numPr>
          <w:ilvl w:val="0"/>
          <w:numId w:val="17"/>
        </w:numPr>
        <w:spacing w:before="156" w:beforeLines="50" w:line="460" w:lineRule="exact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多家上市公司领导力与人才发展高级咨询顾问，先后成功帮助多家企业搭建战略性领导力发展</w:t>
      </w:r>
    </w:p>
    <w:p>
      <w:pPr>
        <w:widowControl/>
        <w:numPr>
          <w:ilvl w:val="0"/>
          <w:numId w:val="17"/>
        </w:numPr>
        <w:spacing w:before="156" w:beforeLines="50" w:line="460" w:lineRule="exact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体系、人才梯队体系、组织经验萃取、案例中心体系搭建、课程开发等项目，多门版权课程开发者及项目导师。</w:t>
      </w:r>
    </w:p>
    <w:p>
      <w:pPr>
        <w:widowControl/>
        <w:spacing w:line="460" w:lineRule="exact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专注领域</w:t>
      </w:r>
    </w:p>
    <w:p>
      <w:pPr>
        <w:widowControl/>
        <w:numPr>
          <w:ilvl w:val="0"/>
          <w:numId w:val="18"/>
        </w:numPr>
        <w:spacing w:line="460" w:lineRule="exact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领导力发展、人才管理与开发、人才梯队建设、培训体系搭建、组织经验萃取等领域的诊断、咨询、培训、课程设计、辅导等多种方式</w:t>
      </w:r>
    </w:p>
    <w:p>
      <w:pPr>
        <w:widowControl/>
        <w:spacing w:line="460" w:lineRule="exact"/>
        <w:rPr>
          <w:rFonts w:ascii="微软雅黑" w:hAnsi="微软雅黑" w:eastAsia="微软雅黑"/>
          <w:b/>
          <w:color w:val="FF5B0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5B09"/>
          <w:sz w:val="28"/>
          <w:szCs w:val="28"/>
        </w:rPr>
        <w:t>主讲课程</w:t>
      </w:r>
    </w:p>
    <w:p>
      <w:pPr>
        <w:widowControl/>
        <w:numPr>
          <w:ilvl w:val="0"/>
          <w:numId w:val="18"/>
        </w:numPr>
        <w:spacing w:line="460" w:lineRule="exact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版权课：《百炼成金——3P经验萃取©》、《拍案成课——5C情境案例课程开发©》、《蝶变——管理者16场情境修炼©》、《匠营——敏捷学习项目设计©》</w:t>
      </w:r>
    </w:p>
    <w:p>
      <w:pPr>
        <w:widowControl/>
        <w:numPr>
          <w:ilvl w:val="0"/>
          <w:numId w:val="18"/>
        </w:numPr>
        <w:spacing w:line="460" w:lineRule="exact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>品牌课：《组织与人才战略》、《关键岗位人才梯队建设与人才盘点》、《敏捷人才发展项目设计与落地》、《团队赋能与辅导激励》、《人才快速培养与复制体系打造》、《关键人才培养-IDP的实操及落地》、《师课共创——从经验到萃取的课程开发》、《五维一体培训体系搭建》、《关键跨越——管理者角色认知与转型》等</w:t>
      </w:r>
    </w:p>
    <w:p>
      <w:pPr>
        <w:spacing w:line="460" w:lineRule="exact"/>
        <w:jc w:val="left"/>
        <w:rPr>
          <w:rFonts w:ascii="微软雅黑" w:hAnsi="微软雅黑" w:eastAsia="微软雅黑" w:cs="Times New Roman"/>
          <w:sz w:val="20"/>
          <w:szCs w:val="24"/>
        </w:rPr>
      </w:pP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247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97"/>
      </w:tabs>
      <w:jc w:val="right"/>
      <w:rPr>
        <w:rFonts w:ascii="微软雅黑" w:hAnsi="微软雅黑" w:eastAsia="微软雅黑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B1794"/>
    <w:multiLevelType w:val="multilevel"/>
    <w:tmpl w:val="06EB1794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86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abstractNum w:abstractNumId="1">
    <w:nsid w:val="09F105F7"/>
    <w:multiLevelType w:val="multilevel"/>
    <w:tmpl w:val="09F105F7"/>
    <w:lvl w:ilvl="0" w:tentative="0">
      <w:start w:val="1"/>
      <w:numFmt w:val="decimal"/>
      <w:lvlText w:val="%1."/>
      <w:lvlJc w:val="left"/>
      <w:pPr>
        <w:ind w:left="860" w:hanging="440"/>
      </w:p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abstractNum w:abstractNumId="2">
    <w:nsid w:val="10720D8B"/>
    <w:multiLevelType w:val="multilevel"/>
    <w:tmpl w:val="10720D8B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9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abstractNum w:abstractNumId="3">
    <w:nsid w:val="1C437AEE"/>
    <w:multiLevelType w:val="multilevel"/>
    <w:tmpl w:val="1C437AEE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86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abstractNum w:abstractNumId="4">
    <w:nsid w:val="1D1D2396"/>
    <w:multiLevelType w:val="multilevel"/>
    <w:tmpl w:val="1D1D2396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86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abstractNum w:abstractNumId="5">
    <w:nsid w:val="27B510EB"/>
    <w:multiLevelType w:val="multilevel"/>
    <w:tmpl w:val="27B510EB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09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3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7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5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9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3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70" w:hanging="440"/>
      </w:pPr>
      <w:rPr>
        <w:rFonts w:hint="default" w:ascii="Wingdings" w:hAnsi="Wingdings"/>
      </w:rPr>
    </w:lvl>
  </w:abstractNum>
  <w:abstractNum w:abstractNumId="6">
    <w:nsid w:val="29FA04D1"/>
    <w:multiLevelType w:val="multilevel"/>
    <w:tmpl w:val="29FA04D1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2DA3015B"/>
    <w:multiLevelType w:val="multilevel"/>
    <w:tmpl w:val="2DA3015B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86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abstractNum w:abstractNumId="8">
    <w:nsid w:val="30015269"/>
    <w:multiLevelType w:val="multilevel"/>
    <w:tmpl w:val="3001526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auto"/>
        <w:sz w:val="13"/>
        <w:szCs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35D435B7"/>
    <w:multiLevelType w:val="multilevel"/>
    <w:tmpl w:val="35D435B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BF864F5"/>
    <w:multiLevelType w:val="multilevel"/>
    <w:tmpl w:val="3BF864F5"/>
    <w:lvl w:ilvl="0" w:tentative="0">
      <w:start w:val="1"/>
      <w:numFmt w:val="decimal"/>
      <w:lvlText w:val="%1.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53F10559"/>
    <w:multiLevelType w:val="multilevel"/>
    <w:tmpl w:val="53F10559"/>
    <w:lvl w:ilvl="0" w:tentative="0">
      <w:start w:val="1"/>
      <w:numFmt w:val="decimal"/>
      <w:lvlText w:val="%1."/>
      <w:lvlJc w:val="left"/>
      <w:pPr>
        <w:ind w:left="630" w:hanging="420"/>
      </w:pPr>
    </w:lvl>
    <w:lvl w:ilvl="1" w:tentative="0">
      <w:start w:val="1"/>
      <w:numFmt w:val="decimal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651F15E7"/>
    <w:multiLevelType w:val="multilevel"/>
    <w:tmpl w:val="651F15E7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9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abstractNum w:abstractNumId="13">
    <w:nsid w:val="67334A05"/>
    <w:multiLevelType w:val="multilevel"/>
    <w:tmpl w:val="67334A05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86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abstractNum w:abstractNumId="14">
    <w:nsid w:val="67D640B7"/>
    <w:multiLevelType w:val="multilevel"/>
    <w:tmpl w:val="67D640B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auto"/>
        <w:sz w:val="13"/>
        <w:szCs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0"/>
      <w:numFmt w:val="bullet"/>
      <w:lvlText w:val="•"/>
      <w:lvlJc w:val="left"/>
      <w:pPr>
        <w:ind w:left="1200" w:hanging="360"/>
      </w:pPr>
      <w:rPr>
        <w:rFonts w:hint="eastAsia" w:ascii="微软雅黑" w:hAnsi="微软雅黑" w:eastAsia="微软雅黑" w:cs="Times New Roman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6D385666"/>
    <w:multiLevelType w:val="multilevel"/>
    <w:tmpl w:val="6D385666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86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abstractNum w:abstractNumId="16">
    <w:nsid w:val="7ABE0F61"/>
    <w:multiLevelType w:val="multilevel"/>
    <w:tmpl w:val="7ABE0F61"/>
    <w:lvl w:ilvl="0" w:tentative="0">
      <w:start w:val="1"/>
      <w:numFmt w:val="bullet"/>
      <w:lvlText w:val=""/>
      <w:lvlJc w:val="left"/>
      <w:pPr>
        <w:ind w:left="440" w:hanging="440"/>
      </w:pPr>
      <w:rPr>
        <w:rFonts w:hint="default" w:ascii="Wingdings" w:hAnsi="Wingdings"/>
        <w:color w:val="auto"/>
        <w:sz w:val="13"/>
        <w:szCs w:val="13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7">
    <w:nsid w:val="7D83665C"/>
    <w:multiLevelType w:val="multilevel"/>
    <w:tmpl w:val="7D83665C"/>
    <w:lvl w:ilvl="0" w:tentative="0">
      <w:start w:val="1"/>
      <w:numFmt w:val="decimal"/>
      <w:lvlText w:val="%1."/>
      <w:lvlJc w:val="left"/>
      <w:pPr>
        <w:ind w:left="650" w:hanging="44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86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wMTUwZjk3YjY4NWY1ZGM3ZWRiNjcyZTMwMmI2NzgifQ=="/>
  </w:docVars>
  <w:rsids>
    <w:rsidRoot w:val="001D5197"/>
    <w:rsid w:val="0002380A"/>
    <w:rsid w:val="00027289"/>
    <w:rsid w:val="00032C43"/>
    <w:rsid w:val="000516F0"/>
    <w:rsid w:val="000539D9"/>
    <w:rsid w:val="0005428B"/>
    <w:rsid w:val="00055C96"/>
    <w:rsid w:val="00056C45"/>
    <w:rsid w:val="00062D53"/>
    <w:rsid w:val="00071CDB"/>
    <w:rsid w:val="00076F4C"/>
    <w:rsid w:val="00077C2C"/>
    <w:rsid w:val="00083481"/>
    <w:rsid w:val="00086715"/>
    <w:rsid w:val="00086E8B"/>
    <w:rsid w:val="0008717F"/>
    <w:rsid w:val="00087F10"/>
    <w:rsid w:val="00090981"/>
    <w:rsid w:val="00090DD1"/>
    <w:rsid w:val="00095ECD"/>
    <w:rsid w:val="000D03C3"/>
    <w:rsid w:val="000D1D6A"/>
    <w:rsid w:val="000E7ECA"/>
    <w:rsid w:val="000F44EE"/>
    <w:rsid w:val="000F774F"/>
    <w:rsid w:val="001138E8"/>
    <w:rsid w:val="00113B1A"/>
    <w:rsid w:val="00121D1C"/>
    <w:rsid w:val="00130578"/>
    <w:rsid w:val="00143272"/>
    <w:rsid w:val="00147358"/>
    <w:rsid w:val="0015538E"/>
    <w:rsid w:val="00175225"/>
    <w:rsid w:val="00183772"/>
    <w:rsid w:val="001869E7"/>
    <w:rsid w:val="001930C7"/>
    <w:rsid w:val="00195F81"/>
    <w:rsid w:val="00196286"/>
    <w:rsid w:val="00196D59"/>
    <w:rsid w:val="001A0F65"/>
    <w:rsid w:val="001A6D04"/>
    <w:rsid w:val="001A7BC4"/>
    <w:rsid w:val="001C548E"/>
    <w:rsid w:val="001D2C14"/>
    <w:rsid w:val="001D3243"/>
    <w:rsid w:val="001D5197"/>
    <w:rsid w:val="001D6309"/>
    <w:rsid w:val="001F4434"/>
    <w:rsid w:val="001F50C0"/>
    <w:rsid w:val="00204447"/>
    <w:rsid w:val="0020563B"/>
    <w:rsid w:val="00213285"/>
    <w:rsid w:val="0021562F"/>
    <w:rsid w:val="00251250"/>
    <w:rsid w:val="00253F26"/>
    <w:rsid w:val="002647B6"/>
    <w:rsid w:val="00270D83"/>
    <w:rsid w:val="00272707"/>
    <w:rsid w:val="00273632"/>
    <w:rsid w:val="00274DE9"/>
    <w:rsid w:val="002A2C5E"/>
    <w:rsid w:val="002A5D68"/>
    <w:rsid w:val="002B3C9E"/>
    <w:rsid w:val="002C0E42"/>
    <w:rsid w:val="002C5B29"/>
    <w:rsid w:val="0030252C"/>
    <w:rsid w:val="003061FE"/>
    <w:rsid w:val="003066EF"/>
    <w:rsid w:val="0030733A"/>
    <w:rsid w:val="00310D0B"/>
    <w:rsid w:val="003173D5"/>
    <w:rsid w:val="0032364A"/>
    <w:rsid w:val="00331B21"/>
    <w:rsid w:val="00331E08"/>
    <w:rsid w:val="0033389B"/>
    <w:rsid w:val="0034201D"/>
    <w:rsid w:val="00344364"/>
    <w:rsid w:val="003529A9"/>
    <w:rsid w:val="003638AA"/>
    <w:rsid w:val="00370FDD"/>
    <w:rsid w:val="00371EB2"/>
    <w:rsid w:val="00374D05"/>
    <w:rsid w:val="0038145D"/>
    <w:rsid w:val="00385B2D"/>
    <w:rsid w:val="00387DC7"/>
    <w:rsid w:val="00392B68"/>
    <w:rsid w:val="003952EC"/>
    <w:rsid w:val="003978A7"/>
    <w:rsid w:val="003A29C3"/>
    <w:rsid w:val="003A415F"/>
    <w:rsid w:val="003C3900"/>
    <w:rsid w:val="003C5E1B"/>
    <w:rsid w:val="003D4A46"/>
    <w:rsid w:val="003D76BF"/>
    <w:rsid w:val="003E35DF"/>
    <w:rsid w:val="004041D5"/>
    <w:rsid w:val="00407215"/>
    <w:rsid w:val="0043305F"/>
    <w:rsid w:val="00444A8E"/>
    <w:rsid w:val="00453D87"/>
    <w:rsid w:val="004677C2"/>
    <w:rsid w:val="00484623"/>
    <w:rsid w:val="00485E8E"/>
    <w:rsid w:val="00487D02"/>
    <w:rsid w:val="00491564"/>
    <w:rsid w:val="004A1BFC"/>
    <w:rsid w:val="004A4EEE"/>
    <w:rsid w:val="004A5218"/>
    <w:rsid w:val="004B3B83"/>
    <w:rsid w:val="004C3D0E"/>
    <w:rsid w:val="004D26D2"/>
    <w:rsid w:val="004D5074"/>
    <w:rsid w:val="004F0F84"/>
    <w:rsid w:val="004F39F2"/>
    <w:rsid w:val="004F7F72"/>
    <w:rsid w:val="00515202"/>
    <w:rsid w:val="005159C3"/>
    <w:rsid w:val="00524B05"/>
    <w:rsid w:val="00526434"/>
    <w:rsid w:val="00547AD4"/>
    <w:rsid w:val="00552142"/>
    <w:rsid w:val="00553785"/>
    <w:rsid w:val="005700D5"/>
    <w:rsid w:val="00580C3B"/>
    <w:rsid w:val="0058559E"/>
    <w:rsid w:val="00592955"/>
    <w:rsid w:val="005A6162"/>
    <w:rsid w:val="005B184C"/>
    <w:rsid w:val="005B474F"/>
    <w:rsid w:val="005B4B98"/>
    <w:rsid w:val="005B4F6B"/>
    <w:rsid w:val="005C4468"/>
    <w:rsid w:val="005C5F0F"/>
    <w:rsid w:val="005D208C"/>
    <w:rsid w:val="005D3E83"/>
    <w:rsid w:val="005E115F"/>
    <w:rsid w:val="005E17B3"/>
    <w:rsid w:val="005F59D0"/>
    <w:rsid w:val="0061114C"/>
    <w:rsid w:val="00623B2F"/>
    <w:rsid w:val="00625C11"/>
    <w:rsid w:val="00644B84"/>
    <w:rsid w:val="00646B78"/>
    <w:rsid w:val="00684961"/>
    <w:rsid w:val="0068529C"/>
    <w:rsid w:val="00686C0E"/>
    <w:rsid w:val="00694DEA"/>
    <w:rsid w:val="00696DCB"/>
    <w:rsid w:val="006B09FD"/>
    <w:rsid w:val="006C2913"/>
    <w:rsid w:val="006C5B4B"/>
    <w:rsid w:val="006D4E27"/>
    <w:rsid w:val="006D5CDD"/>
    <w:rsid w:val="006D665D"/>
    <w:rsid w:val="006E1427"/>
    <w:rsid w:val="006E15FF"/>
    <w:rsid w:val="006E7C7F"/>
    <w:rsid w:val="00713C09"/>
    <w:rsid w:val="00713C79"/>
    <w:rsid w:val="0071705A"/>
    <w:rsid w:val="00720975"/>
    <w:rsid w:val="0072175F"/>
    <w:rsid w:val="00726AED"/>
    <w:rsid w:val="0073021C"/>
    <w:rsid w:val="00737177"/>
    <w:rsid w:val="00740B03"/>
    <w:rsid w:val="00752F05"/>
    <w:rsid w:val="007544B8"/>
    <w:rsid w:val="007755A1"/>
    <w:rsid w:val="00777A8C"/>
    <w:rsid w:val="007818FF"/>
    <w:rsid w:val="0078730C"/>
    <w:rsid w:val="007958FB"/>
    <w:rsid w:val="007A3BA0"/>
    <w:rsid w:val="007A4448"/>
    <w:rsid w:val="007C438C"/>
    <w:rsid w:val="007C5983"/>
    <w:rsid w:val="007D6DBE"/>
    <w:rsid w:val="007D7722"/>
    <w:rsid w:val="007F6054"/>
    <w:rsid w:val="00806A8E"/>
    <w:rsid w:val="00811D7F"/>
    <w:rsid w:val="0082743B"/>
    <w:rsid w:val="00827B3C"/>
    <w:rsid w:val="00833736"/>
    <w:rsid w:val="008415F1"/>
    <w:rsid w:val="00843277"/>
    <w:rsid w:val="00851663"/>
    <w:rsid w:val="00851AF7"/>
    <w:rsid w:val="00852A5C"/>
    <w:rsid w:val="00854686"/>
    <w:rsid w:val="00854B08"/>
    <w:rsid w:val="00863E4A"/>
    <w:rsid w:val="00873A28"/>
    <w:rsid w:val="008749B5"/>
    <w:rsid w:val="00876865"/>
    <w:rsid w:val="00880F94"/>
    <w:rsid w:val="00881D5E"/>
    <w:rsid w:val="00883DBC"/>
    <w:rsid w:val="00884232"/>
    <w:rsid w:val="00891A60"/>
    <w:rsid w:val="00896190"/>
    <w:rsid w:val="008B61EC"/>
    <w:rsid w:val="008C759D"/>
    <w:rsid w:val="008D1B6D"/>
    <w:rsid w:val="008E29A3"/>
    <w:rsid w:val="008F0C51"/>
    <w:rsid w:val="008F1739"/>
    <w:rsid w:val="008F432B"/>
    <w:rsid w:val="00914A0F"/>
    <w:rsid w:val="00925379"/>
    <w:rsid w:val="00941EA8"/>
    <w:rsid w:val="009426FA"/>
    <w:rsid w:val="009444B9"/>
    <w:rsid w:val="0095597C"/>
    <w:rsid w:val="009652B2"/>
    <w:rsid w:val="009676EA"/>
    <w:rsid w:val="0098553F"/>
    <w:rsid w:val="00990437"/>
    <w:rsid w:val="00992021"/>
    <w:rsid w:val="009A16A7"/>
    <w:rsid w:val="009A1FDE"/>
    <w:rsid w:val="009A26B8"/>
    <w:rsid w:val="009A3CC8"/>
    <w:rsid w:val="009A664F"/>
    <w:rsid w:val="009A7DE4"/>
    <w:rsid w:val="009B16BD"/>
    <w:rsid w:val="009B4783"/>
    <w:rsid w:val="009B6AF2"/>
    <w:rsid w:val="009C02D1"/>
    <w:rsid w:val="009D2F3C"/>
    <w:rsid w:val="009D4013"/>
    <w:rsid w:val="009D6CC8"/>
    <w:rsid w:val="009D76A5"/>
    <w:rsid w:val="00A038F8"/>
    <w:rsid w:val="00A06BAB"/>
    <w:rsid w:val="00A10871"/>
    <w:rsid w:val="00A10D46"/>
    <w:rsid w:val="00A20E0F"/>
    <w:rsid w:val="00A3050A"/>
    <w:rsid w:val="00A31205"/>
    <w:rsid w:val="00A35240"/>
    <w:rsid w:val="00A53749"/>
    <w:rsid w:val="00A57785"/>
    <w:rsid w:val="00A721F9"/>
    <w:rsid w:val="00A907BF"/>
    <w:rsid w:val="00A907E3"/>
    <w:rsid w:val="00A9105B"/>
    <w:rsid w:val="00A92C85"/>
    <w:rsid w:val="00AC13EF"/>
    <w:rsid w:val="00AE41FA"/>
    <w:rsid w:val="00AF2A47"/>
    <w:rsid w:val="00B027DF"/>
    <w:rsid w:val="00B06897"/>
    <w:rsid w:val="00B06FD0"/>
    <w:rsid w:val="00B109F0"/>
    <w:rsid w:val="00B111C5"/>
    <w:rsid w:val="00B22961"/>
    <w:rsid w:val="00B3035D"/>
    <w:rsid w:val="00B4597D"/>
    <w:rsid w:val="00B51DAA"/>
    <w:rsid w:val="00B65342"/>
    <w:rsid w:val="00B668C1"/>
    <w:rsid w:val="00B704C8"/>
    <w:rsid w:val="00B7243E"/>
    <w:rsid w:val="00B75932"/>
    <w:rsid w:val="00B82EB5"/>
    <w:rsid w:val="00B8623A"/>
    <w:rsid w:val="00B86D92"/>
    <w:rsid w:val="00B92E58"/>
    <w:rsid w:val="00BC0E2D"/>
    <w:rsid w:val="00BC1D3B"/>
    <w:rsid w:val="00BC7A3B"/>
    <w:rsid w:val="00BD697D"/>
    <w:rsid w:val="00BD795C"/>
    <w:rsid w:val="00BE35C4"/>
    <w:rsid w:val="00BE4D65"/>
    <w:rsid w:val="00C0371E"/>
    <w:rsid w:val="00C06C2E"/>
    <w:rsid w:val="00C23141"/>
    <w:rsid w:val="00C460BB"/>
    <w:rsid w:val="00C46F05"/>
    <w:rsid w:val="00C56062"/>
    <w:rsid w:val="00C56F2B"/>
    <w:rsid w:val="00C6763B"/>
    <w:rsid w:val="00C7410B"/>
    <w:rsid w:val="00C778A7"/>
    <w:rsid w:val="00CC2E3A"/>
    <w:rsid w:val="00CD1CF8"/>
    <w:rsid w:val="00CD2F9D"/>
    <w:rsid w:val="00CD3B77"/>
    <w:rsid w:val="00CD7BB9"/>
    <w:rsid w:val="00CE1A7F"/>
    <w:rsid w:val="00CE2E47"/>
    <w:rsid w:val="00CE4423"/>
    <w:rsid w:val="00D05703"/>
    <w:rsid w:val="00D258D6"/>
    <w:rsid w:val="00D3653C"/>
    <w:rsid w:val="00D446E5"/>
    <w:rsid w:val="00D47A54"/>
    <w:rsid w:val="00D52BF2"/>
    <w:rsid w:val="00D55BB5"/>
    <w:rsid w:val="00D5672A"/>
    <w:rsid w:val="00D62273"/>
    <w:rsid w:val="00D63EBC"/>
    <w:rsid w:val="00D72A68"/>
    <w:rsid w:val="00D730F5"/>
    <w:rsid w:val="00D739B2"/>
    <w:rsid w:val="00D741A6"/>
    <w:rsid w:val="00D84105"/>
    <w:rsid w:val="00DA3793"/>
    <w:rsid w:val="00DA4410"/>
    <w:rsid w:val="00DA46B8"/>
    <w:rsid w:val="00DB60C3"/>
    <w:rsid w:val="00DC40A9"/>
    <w:rsid w:val="00DD0E8A"/>
    <w:rsid w:val="00DD3C30"/>
    <w:rsid w:val="00DD3CC1"/>
    <w:rsid w:val="00DD7002"/>
    <w:rsid w:val="00E01409"/>
    <w:rsid w:val="00E224AF"/>
    <w:rsid w:val="00E22681"/>
    <w:rsid w:val="00E33644"/>
    <w:rsid w:val="00E36A60"/>
    <w:rsid w:val="00E42FB0"/>
    <w:rsid w:val="00E43954"/>
    <w:rsid w:val="00E50C33"/>
    <w:rsid w:val="00E5244D"/>
    <w:rsid w:val="00E5433B"/>
    <w:rsid w:val="00E618BD"/>
    <w:rsid w:val="00EB2733"/>
    <w:rsid w:val="00EB7CC9"/>
    <w:rsid w:val="00EC0A32"/>
    <w:rsid w:val="00ED3D32"/>
    <w:rsid w:val="00ED6372"/>
    <w:rsid w:val="00F01C06"/>
    <w:rsid w:val="00F0223C"/>
    <w:rsid w:val="00F066A6"/>
    <w:rsid w:val="00F10558"/>
    <w:rsid w:val="00F15A20"/>
    <w:rsid w:val="00F17159"/>
    <w:rsid w:val="00F248BC"/>
    <w:rsid w:val="00F26C8A"/>
    <w:rsid w:val="00F31DEA"/>
    <w:rsid w:val="00F50C50"/>
    <w:rsid w:val="00F52AC8"/>
    <w:rsid w:val="00F559AC"/>
    <w:rsid w:val="00F70077"/>
    <w:rsid w:val="00F775C3"/>
    <w:rsid w:val="00F82569"/>
    <w:rsid w:val="00F92B9F"/>
    <w:rsid w:val="00F959C0"/>
    <w:rsid w:val="00F975FD"/>
    <w:rsid w:val="00FA0A09"/>
    <w:rsid w:val="00FA7EC9"/>
    <w:rsid w:val="00FC3560"/>
    <w:rsid w:val="00FC3EFA"/>
    <w:rsid w:val="00FC5D14"/>
    <w:rsid w:val="00FD38C0"/>
    <w:rsid w:val="00FE024C"/>
    <w:rsid w:val="00FE4F44"/>
    <w:rsid w:val="00FE551B"/>
    <w:rsid w:val="00FF117B"/>
    <w:rsid w:val="166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D1D9-7705-490A-8709-DDDFA04E8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Trinasolar</Company>
  <Pages>9</Pages>
  <Words>493</Words>
  <Characters>2811</Characters>
  <Lines>23</Lines>
  <Paragraphs>6</Paragraphs>
  <TotalTime>271</TotalTime>
  <ScaleCrop>false</ScaleCrop>
  <LinksUpToDate>false</LinksUpToDate>
  <CharactersWithSpaces>3298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2023-09-12T01:20:00Z</dcterms:created>
  <dc:creator>Yuan_XiaoMin TS/LD(元晓敏)</dc:creator>
  <cp:lastModifiedBy>Yan</cp:lastModifiedBy>
  <cp:lastPrinted>2023-09-12T03:10:00Z</cp:lastPrinted>
  <dcterms:modified xsi:type="dcterms:W3CDTF">2024-04-03T06:55:56Z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FFB537D9CBA04AB093FB063B09C4D9E0_13</vt:lpwstr>
  </property>
</Properties>
</file>