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93D05">
      <w:pPr>
        <w:pStyle w:val="11"/>
        <w:widowControl/>
        <w:spacing w:line="600" w:lineRule="auto"/>
        <w:ind w:left="420" w:firstLine="0" w:firstLineChars="0"/>
        <w:jc w:val="center"/>
        <w:rPr>
          <w:rStyle w:val="7"/>
          <w:rFonts w:ascii="微软雅黑" w:hAnsi="微软雅黑" w:eastAsia="微软雅黑" w:cs="微软雅黑"/>
          <w:bCs/>
          <w:color w:val="FF0000"/>
          <w:sz w:val="36"/>
          <w:szCs w:val="36"/>
          <w:shd w:val="clear" w:color="auto" w:fill="FFFFFF"/>
        </w:rPr>
      </w:pPr>
      <w:r>
        <w:rPr>
          <w:rFonts w:ascii="微软雅黑" w:hAnsi="微软雅黑" w:eastAsia="微软雅黑" w:cs="微软雅黑"/>
          <w:b/>
          <w:bCs/>
          <w:color w:val="000000" w:themeColor="text1"/>
          <w:sz w:val="24"/>
          <w:szCs w:val="36"/>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-748030</wp:posOffset>
                </wp:positionH>
                <wp:positionV relativeFrom="paragraph">
                  <wp:posOffset>11668760</wp:posOffset>
                </wp:positionV>
                <wp:extent cx="9048115" cy="13473430"/>
                <wp:effectExtent l="6350" t="6350" r="13335" b="7620"/>
                <wp:wrapNone/>
                <wp:docPr id="17" name="组合 17"/>
                <wp:cNvGraphicFramePr/>
                <a:graphic xmlns:a="http://schemas.openxmlformats.org/drawingml/2006/main">
                  <a:graphicData uri="http://schemas.microsoft.com/office/word/2010/wordprocessingGroup">
                    <wpg:wgp>
                      <wpg:cNvGrpSpPr/>
                      <wpg:grpSpPr>
                        <a:xfrm>
                          <a:off x="0" y="0"/>
                          <a:ext cx="9048115" cy="13473430"/>
                          <a:chOff x="0" y="0"/>
                          <a:chExt cx="9048646" cy="13473587"/>
                        </a:xfrm>
                        <a:effectLst/>
                      </wpg:grpSpPr>
                      <wps:wsp>
                        <wps:cNvPr id="11" name="矩形 11"/>
                        <wps:cNvSpPr/>
                        <wps:spPr>
                          <a:xfrm>
                            <a:off x="0" y="0"/>
                            <a:ext cx="184558" cy="13095215"/>
                          </a:xfrm>
                          <a:prstGeom prst="rect">
                            <a:avLst/>
                          </a:prstGeom>
                          <a:solidFill>
                            <a:srgbClr val="2ABC8C"/>
                          </a:solidFill>
                          <a:ln w="12700" cap="flat" cmpd="sng" algn="ctr">
                            <a:solidFill>
                              <a:srgbClr val="2ABC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4" name="矩形 14"/>
                        <wps:cNvSpPr/>
                        <wps:spPr>
                          <a:xfrm>
                            <a:off x="8923283" y="378372"/>
                            <a:ext cx="125363" cy="13095215"/>
                          </a:xfrm>
                          <a:prstGeom prst="rect">
                            <a:avLst/>
                          </a:prstGeom>
                          <a:solidFill>
                            <a:srgbClr val="2ABC8C"/>
                          </a:solidFill>
                          <a:ln w="12700" cap="flat" cmpd="sng" algn="ctr">
                            <a:solidFill>
                              <a:srgbClr val="2ABC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8.9pt;margin-top:918.8pt;height:1060.9pt;width:712.45pt;z-index:251659264;mso-width-relative:page;mso-height-relative:page;" coordsize="9048646,13473587" o:gfxdata="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fpDNv3gAAAA8BAAAPAAAAAAAAAAEAIAAAACIAAABkcnMv&#10;ZG93bnJldi54bWxQSwECFAAUAAAACACHTuJA3FJBVxoDAAB6CQAADgAAAAAAAAABACAAAAAtAQAA&#10;ZHJzL2Uyb0RvYy54bWxQSwUGAAAAAAYABgBZAQAAuQYAAAAA&#10;">
                <o:lock v:ext="edit" aspectratio="f"/>
                <v:rect id="_x0000_s1026" o:spid="_x0000_s1026" o:spt="1" style="position:absolute;left:0;top:0;height:13095215;width:184558;v-text-anchor:middle;" fillcolor="#2ABC8C" filled="t" stroked="t" coordsize="21600,21600" o:gfxdata="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poMcK5AAAA2wAA&#10;AA8AAAAAAAAAAQAgAAAAIgAAAGRycy9kb3ducmV2LnhtbFBLAQIUABQAAAAIAIdO4kAzLwWeOwAA&#10;ADkAAAAQAAAAAAAAAAEAIAAAAAgBAABkcnMvc2hhcGV4bWwueG1sUEsFBgAAAAAGAAYAWwEAALID&#10;AAAAAA==&#10;">
                  <v:fill on="t" focussize="0,0"/>
                  <v:stroke weight="1pt" color="#2ABC8C" miterlimit="8" joinstyle="miter"/>
                  <v:imagedata o:title=""/>
                  <o:lock v:ext="edit" aspectratio="f"/>
                </v:rect>
                <v:rect id="_x0000_s1026" o:spid="_x0000_s1026" o:spt="1" style="position:absolute;left:8923283;top:378372;height:13095215;width:125363;v-text-anchor:middle;" fillcolor="#2ABC8C" filled="t" stroked="t" coordsize="21600,21600" o:gfxdata="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H5JaugAAANsA&#10;AAAPAAAAAAAAAAEAIAAAACIAAABkcnMvZG93bnJldi54bWxQSwECFAAUAAAACACHTuJAMy8FnjsA&#10;AAA5AAAAEAAAAAAAAAABACAAAAAJAQAAZHJzL3NoYXBleG1sLnhtbFBLBQYAAAAABgAGAFsBAACz&#10;AwAAAAA=&#10;">
                  <v:fill on="t" focussize="0,0"/>
                  <v:stroke weight="1pt" color="#2ABC8C" miterlimit="8" joinstyle="miter"/>
                  <v:imagedata o:title=""/>
                  <o:lock v:ext="edit" aspectratio="f"/>
                </v:rect>
              </v:group>
            </w:pict>
          </mc:Fallback>
        </mc:AlternateContent>
      </w:r>
    </w:p>
    <w:p w14:paraId="70A6C619">
      <w:pPr>
        <w:pStyle w:val="11"/>
        <w:widowControl/>
        <w:spacing w:line="600" w:lineRule="auto"/>
        <w:ind w:left="420" w:firstLine="0" w:firstLineChars="0"/>
        <w:jc w:val="center"/>
        <w:rPr>
          <w:rStyle w:val="7"/>
          <w:rFonts w:ascii="微软雅黑" w:hAnsi="微软雅黑" w:eastAsia="微软雅黑" w:cs="微软雅黑"/>
          <w:bCs/>
          <w:color w:val="FF0000"/>
          <w:sz w:val="36"/>
          <w:szCs w:val="36"/>
          <w:shd w:val="clear" w:color="auto" w:fill="FFFFFF"/>
        </w:rPr>
      </w:pPr>
    </w:p>
    <w:p w14:paraId="73FC5799">
      <w:pPr>
        <w:jc w:val="center"/>
        <w:rPr>
          <w:rFonts w:hint="eastAsia" w:ascii="微软雅黑" w:hAnsi="微软雅黑" w:eastAsia="微软雅黑"/>
          <w:b/>
          <w:bCs/>
          <w:color w:val="FF5B09"/>
          <w:sz w:val="56"/>
          <w:szCs w:val="56"/>
        </w:rPr>
      </w:pPr>
      <w:r>
        <w:rPr>
          <w:rFonts w:hint="eastAsia" w:ascii="微软雅黑" w:hAnsi="微软雅黑" w:eastAsia="微软雅黑"/>
          <w:b/>
          <w:bCs/>
          <w:color w:val="FF5B09"/>
          <w:sz w:val="56"/>
          <w:szCs w:val="56"/>
        </w:rPr>
        <w:t>成为战略型招聘官</w:t>
      </w:r>
    </w:p>
    <w:p w14:paraId="4B47BB6B">
      <w:pPr>
        <w:jc w:val="center"/>
        <w:rPr>
          <w:rFonts w:hint="eastAsia" w:ascii="微软雅黑" w:hAnsi="微软雅黑" w:eastAsia="微软雅黑"/>
          <w:b/>
          <w:bCs/>
          <w:color w:val="FF5B09"/>
          <w:sz w:val="40"/>
          <w:szCs w:val="40"/>
        </w:rPr>
      </w:pPr>
      <w:r>
        <w:rPr>
          <w:rFonts w:hint="eastAsia" w:ascii="微软雅黑" w:hAnsi="微软雅黑" w:eastAsia="微软雅黑"/>
          <w:b/>
          <w:bCs/>
          <w:color w:val="FF5B09"/>
          <w:sz w:val="40"/>
          <w:szCs w:val="40"/>
        </w:rPr>
        <w:t>从招聘战略制定到招聘技能深造</w:t>
      </w:r>
    </w:p>
    <w:p w14:paraId="719A6449">
      <w:pPr>
        <w:jc w:val="center"/>
        <w:rPr>
          <w:rFonts w:ascii="微软雅黑" w:hAnsi="微软雅黑" w:eastAsia="微软雅黑"/>
          <w:b/>
          <w:bCs/>
          <w:color w:val="FF5B09"/>
          <w:sz w:val="24"/>
          <w:szCs w:val="24"/>
        </w:rPr>
      </w:pPr>
      <w:r>
        <w:rPr>
          <w:rFonts w:hint="eastAsia" w:ascii="微软雅黑" w:hAnsi="微软雅黑" w:eastAsia="微软雅黑"/>
          <w:b/>
          <w:bCs/>
          <w:color w:val="FF5B09"/>
          <w:sz w:val="24"/>
          <w:szCs w:val="24"/>
        </w:rPr>
        <w:t xml:space="preserve"> </w:t>
      </w:r>
      <w:r>
        <w:rPr>
          <w:rFonts w:ascii="微软雅黑" w:hAnsi="微软雅黑" w:eastAsia="微软雅黑"/>
          <w:b/>
          <w:bCs/>
          <w:color w:val="FF5B09"/>
          <w:sz w:val="24"/>
          <w:szCs w:val="24"/>
        </w:rPr>
        <w:t xml:space="preserve"> </w:t>
      </w:r>
    </w:p>
    <w:p w14:paraId="4C908D73">
      <w:pPr>
        <w:spacing w:line="360" w:lineRule="auto"/>
        <w:ind w:left="630" w:leftChars="300"/>
        <w:rPr>
          <w:rFonts w:ascii="微软雅黑" w:hAnsi="微软雅黑" w:eastAsia="微软雅黑"/>
        </w:rPr>
      </w:pPr>
      <w:r>
        <w:rPr>
          <w:rFonts w:hint="eastAsia" w:ascii="微软雅黑" w:hAnsi="微软雅黑" w:eastAsia="微软雅黑"/>
          <w:b/>
          <w:color w:val="FF5B09"/>
          <w:sz w:val="30"/>
          <w:szCs w:val="30"/>
          <w:lang w:val="en-US" w:eastAsia="zh-CN"/>
        </w:rPr>
        <w:t>2025年排期</w:t>
      </w:r>
      <w:r>
        <w:rPr>
          <w:rFonts w:ascii="微软雅黑" w:hAnsi="微软雅黑" w:eastAsia="微软雅黑"/>
          <w:b/>
          <w:color w:val="FF5B09"/>
          <w:sz w:val="30"/>
          <w:szCs w:val="30"/>
        </w:rPr>
        <w:t>：</w:t>
      </w:r>
      <w:r>
        <w:rPr>
          <w:rFonts w:hint="eastAsia" w:ascii="微软雅黑" w:hAnsi="微软雅黑" w:eastAsia="微软雅黑"/>
          <w:b/>
          <w:bCs/>
          <w:sz w:val="22"/>
          <w:szCs w:val="28"/>
          <w:lang w:val="en-US" w:eastAsia="zh-CN"/>
        </w:rPr>
        <w:t>8月29-30日上海</w:t>
      </w:r>
      <w:r>
        <w:rPr>
          <w:rFonts w:hint="eastAsia" w:ascii="微软雅黑" w:hAnsi="微软雅黑" w:eastAsia="微软雅黑"/>
          <w:sz w:val="22"/>
          <w:szCs w:val="28"/>
          <w:lang w:val="en-US" w:eastAsia="zh-CN"/>
        </w:rPr>
        <w:t xml:space="preserve"> ；</w:t>
      </w:r>
      <w:r>
        <w:rPr>
          <w:rFonts w:hint="eastAsia" w:ascii="微软雅黑" w:hAnsi="微软雅黑" w:eastAsia="微软雅黑"/>
        </w:rPr>
        <w:t>2天，6小时/天，合计1</w:t>
      </w:r>
      <w:r>
        <w:rPr>
          <w:rFonts w:hint="eastAsia" w:ascii="微软雅黑" w:hAnsi="微软雅黑" w:eastAsia="微软雅黑"/>
          <w:lang w:val="en-US" w:eastAsia="zh-CN"/>
        </w:rPr>
        <w:t>2</w:t>
      </w:r>
      <w:r>
        <w:rPr>
          <w:rFonts w:hint="eastAsia" w:ascii="微软雅黑" w:hAnsi="微软雅黑" w:eastAsia="微软雅黑"/>
        </w:rPr>
        <w:t>小时</w:t>
      </w:r>
    </w:p>
    <w:p w14:paraId="5F666E3F">
      <w:pPr>
        <w:spacing w:line="360" w:lineRule="auto"/>
        <w:ind w:left="630" w:leftChars="300"/>
        <w:rPr>
          <w:rFonts w:ascii="微软雅黑" w:hAnsi="微软雅黑" w:eastAsia="微软雅黑"/>
          <w:b/>
          <w:bCs/>
          <w:sz w:val="24"/>
          <w:szCs w:val="32"/>
        </w:rPr>
      </w:pPr>
      <w:r>
        <w:rPr>
          <w:rFonts w:ascii="微软雅黑" w:hAnsi="微软雅黑" w:eastAsia="微软雅黑"/>
          <w:b/>
          <w:color w:val="FF5B09"/>
          <w:sz w:val="30"/>
          <w:szCs w:val="30"/>
        </w:rPr>
        <w:t>报名学习</w:t>
      </w:r>
      <w:r>
        <w:rPr>
          <w:rFonts w:hint="eastAsia" w:ascii="微软雅黑" w:hAnsi="微软雅黑" w:eastAsia="微软雅黑"/>
          <w:b/>
          <w:color w:val="FF5B09"/>
          <w:sz w:val="30"/>
          <w:szCs w:val="30"/>
        </w:rPr>
        <w:t>：</w:t>
      </w:r>
      <w:r>
        <w:rPr>
          <w:rFonts w:ascii="微软雅黑" w:hAnsi="微软雅黑" w:eastAsia="微软雅黑"/>
        </w:rPr>
        <w:t>课程市场指导价</w:t>
      </w:r>
      <w:r>
        <w:rPr>
          <w:rFonts w:hint="eastAsia" w:ascii="微软雅黑" w:hAnsi="微软雅黑" w:eastAsia="微软雅黑"/>
        </w:rPr>
        <w:t>680</w:t>
      </w:r>
      <w:r>
        <w:rPr>
          <w:rFonts w:ascii="微软雅黑" w:hAnsi="微软雅黑" w:eastAsia="微软雅黑"/>
        </w:rPr>
        <w:t>0元</w:t>
      </w:r>
      <w:r>
        <w:rPr>
          <w:rFonts w:hint="eastAsia" w:ascii="微软雅黑" w:hAnsi="微软雅黑" w:eastAsia="微软雅黑"/>
        </w:rPr>
        <w:t>/</w:t>
      </w:r>
      <w:r>
        <w:rPr>
          <w:rFonts w:ascii="微软雅黑" w:hAnsi="微软雅黑" w:eastAsia="微软雅黑"/>
        </w:rPr>
        <w:t>人</w:t>
      </w:r>
      <w:r>
        <w:rPr>
          <w:rFonts w:hint="eastAsia" w:ascii="微软雅黑" w:hAnsi="微软雅黑" w:eastAsia="微软雅黑"/>
        </w:rPr>
        <w:t>，</w:t>
      </w:r>
      <w:r>
        <w:rPr>
          <w:rFonts w:ascii="微软雅黑" w:hAnsi="微软雅黑" w:eastAsia="微软雅黑"/>
          <w:b/>
          <w:bCs/>
          <w:sz w:val="24"/>
          <w:szCs w:val="32"/>
        </w:rPr>
        <w:t>现在报名优惠价</w:t>
      </w:r>
      <w:r>
        <w:rPr>
          <w:rFonts w:hint="eastAsia" w:ascii="微软雅黑" w:hAnsi="微软雅黑" w:eastAsia="微软雅黑"/>
          <w:b/>
          <w:bCs/>
          <w:sz w:val="24"/>
          <w:szCs w:val="32"/>
        </w:rPr>
        <w:t>5280</w:t>
      </w:r>
      <w:r>
        <w:rPr>
          <w:rFonts w:ascii="微软雅黑" w:hAnsi="微软雅黑" w:eastAsia="微软雅黑"/>
          <w:b/>
          <w:bCs/>
          <w:sz w:val="24"/>
          <w:szCs w:val="32"/>
        </w:rPr>
        <w:t>元</w:t>
      </w:r>
      <w:r>
        <w:rPr>
          <w:rFonts w:hint="eastAsia" w:ascii="微软雅黑" w:hAnsi="微软雅黑" w:eastAsia="微软雅黑"/>
          <w:b/>
          <w:bCs/>
          <w:sz w:val="24"/>
          <w:szCs w:val="32"/>
        </w:rPr>
        <w:t>/</w:t>
      </w:r>
      <w:r>
        <w:rPr>
          <w:rFonts w:ascii="微软雅黑" w:hAnsi="微软雅黑" w:eastAsia="微软雅黑"/>
          <w:b/>
          <w:bCs/>
          <w:sz w:val="24"/>
          <w:szCs w:val="32"/>
        </w:rPr>
        <w:t>人</w:t>
      </w:r>
    </w:p>
    <w:p w14:paraId="7D6760DC">
      <w:pPr>
        <w:spacing w:line="360" w:lineRule="auto"/>
        <w:ind w:left="630" w:leftChars="300"/>
        <w:rPr>
          <w:rFonts w:ascii="微软雅黑" w:hAnsi="微软雅黑" w:eastAsia="微软雅黑"/>
        </w:rPr>
      </w:pPr>
      <w:r>
        <w:rPr>
          <w:rFonts w:ascii="微软雅黑" w:hAnsi="微软雅黑" w:eastAsia="微软雅黑"/>
        </w:rPr>
        <w:t>包含</w:t>
      </w:r>
      <w:r>
        <w:rPr>
          <w:rFonts w:hint="eastAsia" w:ascii="微软雅黑" w:hAnsi="微软雅黑" w:eastAsia="微软雅黑"/>
        </w:rPr>
        <w:t>：场地费，授课费，手册印刷费，税费，</w:t>
      </w:r>
      <w:r>
        <w:rPr>
          <w:rFonts w:ascii="微软雅黑" w:hAnsi="微软雅黑" w:eastAsia="微软雅黑"/>
        </w:rPr>
        <w:t>午餐费</w:t>
      </w:r>
      <w:r>
        <w:rPr>
          <w:rFonts w:hint="eastAsia" w:ascii="微软雅黑" w:hAnsi="微软雅黑" w:eastAsia="微软雅黑"/>
        </w:rPr>
        <w:t>，下午茶歇等费用；差旅费自理！</w:t>
      </w:r>
    </w:p>
    <w:p w14:paraId="6DCD5A9E">
      <w:pPr>
        <w:rPr>
          <w:b/>
        </w:rPr>
      </w:pPr>
    </w:p>
    <w:p w14:paraId="0D3C63BA">
      <w:pPr>
        <w:tabs>
          <w:tab w:val="right" w:pos="8306"/>
        </w:tabs>
        <w:spacing w:line="360" w:lineRule="auto"/>
        <w:ind w:left="630" w:leftChars="300"/>
        <w:rPr>
          <w:rFonts w:ascii="微软雅黑" w:hAnsi="微软雅黑" w:eastAsia="微软雅黑"/>
          <w:b/>
          <w:color w:val="FF5B09"/>
          <w:sz w:val="30"/>
          <w:szCs w:val="30"/>
        </w:rPr>
      </w:pPr>
      <w:r>
        <w:rPr>
          <w:rFonts w:hint="eastAsia" w:ascii="微软雅黑" w:hAnsi="微软雅黑" w:eastAsia="微软雅黑"/>
          <w:b/>
          <w:color w:val="FF5B09"/>
          <w:sz w:val="30"/>
          <w:szCs w:val="30"/>
        </w:rPr>
        <w:t>课程核心收益</w:t>
      </w:r>
    </w:p>
    <w:p w14:paraId="3AD35128">
      <w:pPr>
        <w:spacing w:line="240" w:lineRule="auto"/>
        <w:ind w:left="630" w:leftChars="300" w:firstLine="0" w:firstLineChars="0"/>
        <w:rPr>
          <w:rFonts w:hint="eastAsia" w:ascii="微软雅黑" w:hAnsi="微软雅黑" w:eastAsia="微软雅黑"/>
          <w:b/>
          <w:bCs/>
          <w:color w:val="FF5B09"/>
          <w:sz w:val="24"/>
          <w:szCs w:val="24"/>
        </w:rPr>
      </w:pPr>
      <w:r>
        <w:rPr>
          <w:rFonts w:hint="eastAsia" w:ascii="微软雅黑" w:hAnsi="微软雅黑" w:eastAsia="微软雅黑"/>
          <w:b/>
          <w:bCs/>
          <w:color w:val="FF5B09"/>
          <w:sz w:val="24"/>
          <w:szCs w:val="24"/>
        </w:rPr>
        <w:t>个人层面的学习收益：</w:t>
      </w:r>
    </w:p>
    <w:p w14:paraId="2560EE2A">
      <w:pPr>
        <w:numPr>
          <w:ilvl w:val="0"/>
          <w:numId w:val="1"/>
        </w:numPr>
        <w:tabs>
          <w:tab w:val="right" w:pos="8306"/>
        </w:tabs>
        <w:spacing w:line="360" w:lineRule="auto"/>
        <w:ind w:left="1055" w:leftChars="0" w:hanging="425" w:firstLineChars="0"/>
        <w:rPr>
          <w:rFonts w:hint="eastAsia" w:ascii="微软雅黑" w:hAnsi="微软雅黑" w:eastAsia="微软雅黑"/>
        </w:rPr>
      </w:pPr>
      <w:r>
        <w:rPr>
          <w:rFonts w:hint="eastAsia" w:ascii="微软雅黑" w:hAnsi="微软雅黑" w:eastAsia="微软雅黑"/>
        </w:rPr>
        <w:t>助您打开招聘战略思维了解招聘战略管理</w:t>
      </w:r>
    </w:p>
    <w:p w14:paraId="6AAC8296">
      <w:pPr>
        <w:numPr>
          <w:ilvl w:val="0"/>
          <w:numId w:val="1"/>
        </w:numPr>
        <w:tabs>
          <w:tab w:val="right" w:pos="8306"/>
        </w:tabs>
        <w:spacing w:line="360" w:lineRule="auto"/>
        <w:ind w:left="1055" w:leftChars="0" w:hanging="425" w:firstLineChars="0"/>
        <w:rPr>
          <w:rFonts w:hint="eastAsia" w:ascii="微软雅黑" w:hAnsi="微软雅黑" w:eastAsia="微软雅黑"/>
        </w:rPr>
      </w:pPr>
      <w:r>
        <w:rPr>
          <w:rFonts w:hint="eastAsia" w:ascii="微软雅黑" w:hAnsi="微软雅黑" w:eastAsia="微软雅黑"/>
        </w:rPr>
        <w:t>学习雇主品牌管理的内涵和外延</w:t>
      </w:r>
    </w:p>
    <w:p w14:paraId="348B5A91">
      <w:pPr>
        <w:numPr>
          <w:ilvl w:val="0"/>
          <w:numId w:val="1"/>
        </w:numPr>
        <w:tabs>
          <w:tab w:val="right" w:pos="8306"/>
        </w:tabs>
        <w:spacing w:line="360" w:lineRule="auto"/>
        <w:ind w:left="1055" w:leftChars="0" w:hanging="425" w:firstLineChars="0"/>
        <w:rPr>
          <w:rFonts w:hint="eastAsia" w:ascii="微软雅黑" w:hAnsi="微软雅黑" w:eastAsia="微软雅黑"/>
        </w:rPr>
      </w:pPr>
      <w:r>
        <w:rPr>
          <w:rFonts w:hint="eastAsia" w:ascii="微软雅黑" w:hAnsi="微软雅黑" w:eastAsia="微软雅黑"/>
        </w:rPr>
        <w:t>提升人岗匹配度和候选人体验的意识</w:t>
      </w:r>
    </w:p>
    <w:p w14:paraId="33BB3513">
      <w:pPr>
        <w:numPr>
          <w:ilvl w:val="0"/>
          <w:numId w:val="1"/>
        </w:numPr>
        <w:tabs>
          <w:tab w:val="right" w:pos="8306"/>
        </w:tabs>
        <w:spacing w:line="360" w:lineRule="auto"/>
        <w:ind w:left="1055" w:leftChars="0" w:hanging="425" w:firstLineChars="0"/>
        <w:rPr>
          <w:rFonts w:hint="eastAsia" w:ascii="微软雅黑" w:hAnsi="微软雅黑" w:eastAsia="微软雅黑"/>
        </w:rPr>
      </w:pPr>
      <w:r>
        <w:rPr>
          <w:rFonts w:hint="eastAsia" w:ascii="微软雅黑" w:hAnsi="微软雅黑" w:eastAsia="微软雅黑"/>
        </w:rPr>
        <w:t>熟知招聘渠道的铺设和管理方法</w:t>
      </w:r>
    </w:p>
    <w:p w14:paraId="11E2CD30">
      <w:pPr>
        <w:numPr>
          <w:ilvl w:val="0"/>
          <w:numId w:val="1"/>
        </w:numPr>
        <w:tabs>
          <w:tab w:val="right" w:pos="8306"/>
        </w:tabs>
        <w:spacing w:line="360" w:lineRule="auto"/>
        <w:ind w:left="1055" w:leftChars="0" w:hanging="425" w:firstLineChars="0"/>
        <w:rPr>
          <w:rFonts w:hint="eastAsia" w:ascii="微软雅黑" w:hAnsi="微软雅黑" w:eastAsia="微软雅黑"/>
        </w:rPr>
      </w:pPr>
      <w:r>
        <w:rPr>
          <w:rFonts w:hint="eastAsia" w:ascii="微软雅黑" w:hAnsi="微软雅黑" w:eastAsia="微软雅黑"/>
        </w:rPr>
        <w:t>增强招聘沟通高效性和影响力</w:t>
      </w:r>
    </w:p>
    <w:p w14:paraId="627C91C7">
      <w:pPr>
        <w:numPr>
          <w:ilvl w:val="0"/>
          <w:numId w:val="1"/>
        </w:numPr>
        <w:tabs>
          <w:tab w:val="right" w:pos="8306"/>
        </w:tabs>
        <w:spacing w:line="360" w:lineRule="auto"/>
        <w:ind w:left="1055" w:leftChars="0" w:hanging="425" w:firstLineChars="0"/>
        <w:rPr>
          <w:rFonts w:hint="eastAsia" w:ascii="微软雅黑" w:hAnsi="微软雅黑" w:eastAsia="微软雅黑"/>
        </w:rPr>
      </w:pPr>
      <w:r>
        <w:rPr>
          <w:rFonts w:hint="eastAsia" w:ascii="微软雅黑" w:hAnsi="微软雅黑" w:eastAsia="微软雅黑"/>
        </w:rPr>
        <w:t>把握人才规划的概念</w:t>
      </w:r>
    </w:p>
    <w:p w14:paraId="7692CC19">
      <w:pPr>
        <w:numPr>
          <w:ilvl w:val="0"/>
          <w:numId w:val="1"/>
        </w:numPr>
        <w:tabs>
          <w:tab w:val="right" w:pos="8306"/>
        </w:tabs>
        <w:spacing w:line="360" w:lineRule="auto"/>
        <w:ind w:left="1055" w:leftChars="0" w:hanging="425" w:firstLineChars="0"/>
        <w:rPr>
          <w:rFonts w:hint="eastAsia" w:ascii="微软雅黑" w:hAnsi="微软雅黑" w:eastAsia="微软雅黑"/>
        </w:rPr>
      </w:pPr>
      <w:r>
        <w:rPr>
          <w:rFonts w:hint="eastAsia" w:ascii="微软雅黑" w:hAnsi="微软雅黑" w:eastAsia="微软雅黑"/>
        </w:rPr>
        <w:t>提升薪酬谈判的“技艺”</w:t>
      </w:r>
    </w:p>
    <w:p w14:paraId="5F39DE76">
      <w:pPr>
        <w:numPr>
          <w:ilvl w:val="0"/>
          <w:numId w:val="1"/>
        </w:numPr>
        <w:tabs>
          <w:tab w:val="right" w:pos="8306"/>
        </w:tabs>
        <w:spacing w:line="360" w:lineRule="auto"/>
        <w:ind w:left="1055" w:leftChars="0" w:hanging="425" w:firstLineChars="0"/>
        <w:rPr>
          <w:rFonts w:hint="eastAsia" w:ascii="微软雅黑" w:hAnsi="微软雅黑" w:eastAsia="微软雅黑"/>
        </w:rPr>
      </w:pPr>
      <w:r>
        <w:rPr>
          <w:rFonts w:hint="eastAsia" w:ascii="微软雅黑" w:hAnsi="微软雅黑" w:eastAsia="微软雅黑"/>
        </w:rPr>
        <w:t>学习候选人关系管理</w:t>
      </w:r>
    </w:p>
    <w:p w14:paraId="7A572148">
      <w:pPr>
        <w:numPr>
          <w:ilvl w:val="0"/>
          <w:numId w:val="1"/>
        </w:numPr>
        <w:tabs>
          <w:tab w:val="right" w:pos="8306"/>
        </w:tabs>
        <w:spacing w:line="360" w:lineRule="auto"/>
        <w:ind w:left="1055" w:leftChars="0" w:hanging="425" w:firstLineChars="0"/>
        <w:rPr>
          <w:rFonts w:hint="eastAsia" w:ascii="微软雅黑" w:hAnsi="微软雅黑" w:eastAsia="微软雅黑"/>
        </w:rPr>
      </w:pPr>
      <w:r>
        <w:rPr>
          <w:rFonts w:hint="eastAsia" w:ascii="微软雅黑" w:hAnsi="微软雅黑" w:eastAsia="微软雅黑"/>
        </w:rPr>
        <w:t>学习掌握招聘的合规管理和项目管理技能</w:t>
      </w:r>
    </w:p>
    <w:p w14:paraId="356AA2C1">
      <w:pPr>
        <w:spacing w:line="240" w:lineRule="auto"/>
        <w:ind w:left="630" w:leftChars="300" w:firstLine="0" w:firstLineChars="0"/>
        <w:rPr>
          <w:rFonts w:hint="eastAsia" w:ascii="微软雅黑" w:hAnsi="微软雅黑" w:eastAsia="微软雅黑"/>
          <w:b/>
          <w:bCs/>
          <w:color w:val="FF5B09"/>
          <w:sz w:val="24"/>
          <w:szCs w:val="24"/>
        </w:rPr>
      </w:pPr>
      <w:r>
        <w:rPr>
          <w:rFonts w:hint="eastAsia" w:ascii="微软雅黑" w:hAnsi="微软雅黑" w:eastAsia="微软雅黑"/>
          <w:b/>
          <w:bCs/>
          <w:color w:val="FF5B09"/>
          <w:sz w:val="24"/>
          <w:szCs w:val="24"/>
        </w:rPr>
        <w:t>组织层面的学习收益：</w:t>
      </w:r>
    </w:p>
    <w:p w14:paraId="0C931FA9">
      <w:pPr>
        <w:numPr>
          <w:ilvl w:val="0"/>
          <w:numId w:val="2"/>
        </w:numPr>
        <w:tabs>
          <w:tab w:val="right" w:pos="8306"/>
        </w:tabs>
        <w:spacing w:line="360" w:lineRule="auto"/>
        <w:ind w:left="1055" w:leftChars="0" w:hanging="425" w:firstLineChars="0"/>
        <w:rPr>
          <w:rFonts w:hint="eastAsia" w:ascii="微软雅黑" w:hAnsi="微软雅黑" w:eastAsia="微软雅黑"/>
          <w:lang w:val="en-US" w:eastAsia="zh-CN"/>
        </w:rPr>
      </w:pPr>
      <w:bookmarkStart w:id="0" w:name="_Hlk149074731"/>
      <w:r>
        <w:rPr>
          <w:rFonts w:hint="eastAsia" w:ascii="微软雅黑" w:hAnsi="微软雅黑" w:eastAsia="微软雅黑"/>
          <w:lang w:val="en-US" w:eastAsia="zh-CN"/>
        </w:rPr>
        <w:t>提升招聘团队的战略思维高度</w:t>
      </w:r>
    </w:p>
    <w:p w14:paraId="03324A8C">
      <w:pPr>
        <w:numPr>
          <w:ilvl w:val="0"/>
          <w:numId w:val="2"/>
        </w:numPr>
        <w:tabs>
          <w:tab w:val="right" w:pos="8306"/>
        </w:tabs>
        <w:spacing w:line="360" w:lineRule="auto"/>
        <w:ind w:left="1055" w:leftChars="0" w:hanging="425" w:firstLineChars="0"/>
        <w:rPr>
          <w:rFonts w:hint="eastAsia" w:ascii="微软雅黑" w:hAnsi="微软雅黑" w:eastAsia="微软雅黑"/>
          <w:lang w:val="en-US" w:eastAsia="zh-CN"/>
        </w:rPr>
      </w:pPr>
      <w:r>
        <w:rPr>
          <w:rFonts w:hint="eastAsia" w:ascii="微软雅黑" w:hAnsi="微软雅黑" w:eastAsia="微软雅黑"/>
          <w:lang w:val="en-US" w:eastAsia="zh-CN"/>
        </w:rPr>
        <w:t>提升招聘团队的招聘操作管理能力</w:t>
      </w:r>
    </w:p>
    <w:bookmarkEnd w:id="0"/>
    <w:p w14:paraId="3B62A085">
      <w:pPr>
        <w:numPr>
          <w:ilvl w:val="0"/>
          <w:numId w:val="2"/>
        </w:numPr>
        <w:tabs>
          <w:tab w:val="right" w:pos="8306"/>
        </w:tabs>
        <w:spacing w:line="360" w:lineRule="auto"/>
        <w:ind w:left="1055" w:leftChars="0" w:hanging="425" w:firstLineChars="0"/>
        <w:rPr>
          <w:rFonts w:hint="eastAsia" w:ascii="微软雅黑" w:hAnsi="微软雅黑" w:eastAsia="微软雅黑"/>
          <w:lang w:val="en-US" w:eastAsia="zh-CN"/>
        </w:rPr>
      </w:pPr>
      <w:r>
        <w:rPr>
          <w:rFonts w:hint="eastAsia" w:ascii="微软雅黑" w:hAnsi="微软雅黑" w:eastAsia="微软雅黑"/>
          <w:lang w:val="en-US" w:eastAsia="zh-CN"/>
        </w:rPr>
        <w:t>提升招聘团队的雇主品牌意识</w:t>
      </w:r>
    </w:p>
    <w:p w14:paraId="51B4E8FB">
      <w:pPr>
        <w:numPr>
          <w:ilvl w:val="0"/>
          <w:numId w:val="2"/>
        </w:numPr>
        <w:tabs>
          <w:tab w:val="right" w:pos="8306"/>
        </w:tabs>
        <w:spacing w:line="360" w:lineRule="auto"/>
        <w:ind w:left="1055" w:leftChars="0" w:hanging="425" w:firstLineChars="0"/>
        <w:rPr>
          <w:rFonts w:hint="eastAsia" w:ascii="微软雅黑" w:hAnsi="微软雅黑" w:eastAsia="微软雅黑"/>
          <w:lang w:val="en-US" w:eastAsia="zh-CN"/>
        </w:rPr>
      </w:pPr>
      <w:r>
        <w:rPr>
          <w:rFonts w:hint="eastAsia" w:ascii="微软雅黑" w:hAnsi="微软雅黑" w:eastAsia="微软雅黑"/>
          <w:lang w:val="en-US" w:eastAsia="zh-CN"/>
        </w:rPr>
        <w:t>提升候选人与企业的粘度</w:t>
      </w:r>
    </w:p>
    <w:p w14:paraId="245ACDC9">
      <w:pPr>
        <w:numPr>
          <w:ilvl w:val="0"/>
          <w:numId w:val="2"/>
        </w:numPr>
        <w:tabs>
          <w:tab w:val="right" w:pos="8306"/>
        </w:tabs>
        <w:spacing w:line="360" w:lineRule="auto"/>
        <w:ind w:left="1055" w:leftChars="0" w:hanging="425" w:firstLineChars="0"/>
        <w:rPr>
          <w:rFonts w:hint="eastAsia" w:ascii="微软雅黑" w:hAnsi="微软雅黑" w:eastAsia="微软雅黑"/>
          <w:lang w:val="en-US" w:eastAsia="zh-CN"/>
        </w:rPr>
      </w:pPr>
      <w:r>
        <w:rPr>
          <w:rFonts w:hint="eastAsia" w:ascii="微软雅黑" w:hAnsi="微软雅黑" w:eastAsia="微软雅黑"/>
          <w:lang w:val="en-US" w:eastAsia="zh-CN"/>
        </w:rPr>
        <w:t>提升招聘职能部门绩效管理的水平</w:t>
      </w:r>
    </w:p>
    <w:p w14:paraId="4A956160">
      <w:pPr>
        <w:numPr>
          <w:ilvl w:val="0"/>
          <w:numId w:val="2"/>
        </w:numPr>
        <w:tabs>
          <w:tab w:val="right" w:pos="8306"/>
        </w:tabs>
        <w:spacing w:line="360" w:lineRule="auto"/>
        <w:ind w:left="1055" w:leftChars="0" w:hanging="425" w:firstLineChars="0"/>
        <w:rPr>
          <w:rFonts w:hint="eastAsia" w:ascii="微软雅黑" w:hAnsi="微软雅黑" w:eastAsia="微软雅黑"/>
          <w:lang w:val="en-US" w:eastAsia="zh-CN"/>
        </w:rPr>
      </w:pPr>
      <w:r>
        <w:rPr>
          <w:rFonts w:hint="eastAsia" w:ascii="微软雅黑" w:hAnsi="微软雅黑" w:eastAsia="微软雅黑"/>
          <w:lang w:val="en-US" w:eastAsia="zh-CN"/>
        </w:rPr>
        <w:t>提升招聘职能部门降本增效的能力</w:t>
      </w:r>
    </w:p>
    <w:p w14:paraId="5FC5730B">
      <w:pPr>
        <w:numPr>
          <w:ilvl w:val="0"/>
          <w:numId w:val="2"/>
        </w:numPr>
        <w:tabs>
          <w:tab w:val="right" w:pos="8306"/>
        </w:tabs>
        <w:spacing w:line="360" w:lineRule="auto"/>
        <w:ind w:left="1055" w:leftChars="0" w:hanging="425" w:firstLineChars="0"/>
        <w:rPr>
          <w:rFonts w:hint="eastAsia" w:ascii="微软雅黑" w:hAnsi="微软雅黑" w:eastAsia="微软雅黑"/>
          <w:lang w:val="en-US" w:eastAsia="zh-CN"/>
        </w:rPr>
      </w:pPr>
      <w:r>
        <w:rPr>
          <w:rFonts w:hint="eastAsia" w:ascii="微软雅黑" w:hAnsi="微软雅黑" w:eastAsia="微软雅黑"/>
          <w:lang w:val="en-US" w:eastAsia="zh-CN"/>
        </w:rPr>
        <w:t>加强招聘和业务的沟通和无缝对接的配合</w:t>
      </w:r>
    </w:p>
    <w:p w14:paraId="165C6A02">
      <w:pPr>
        <w:numPr>
          <w:ilvl w:val="0"/>
          <w:numId w:val="2"/>
        </w:numPr>
        <w:tabs>
          <w:tab w:val="right" w:pos="8306"/>
        </w:tabs>
        <w:spacing w:line="360" w:lineRule="auto"/>
        <w:ind w:left="1055" w:leftChars="0" w:hanging="425" w:firstLineChars="0"/>
        <w:rPr>
          <w:rFonts w:hint="eastAsia" w:ascii="微软雅黑" w:hAnsi="微软雅黑" w:eastAsia="微软雅黑"/>
        </w:rPr>
      </w:pPr>
      <w:r>
        <w:rPr>
          <w:rFonts w:hint="eastAsia" w:ascii="微软雅黑" w:hAnsi="微软雅黑" w:eastAsia="微软雅黑"/>
          <w:lang w:val="en-US" w:eastAsia="zh-CN"/>
        </w:rPr>
        <w:t>提升招聘职能部门职能管理的思路</w:t>
      </w:r>
    </w:p>
    <w:p w14:paraId="31503613">
      <w:pPr>
        <w:tabs>
          <w:tab w:val="right" w:pos="8306"/>
        </w:tabs>
        <w:spacing w:line="360" w:lineRule="auto"/>
        <w:ind w:left="630" w:leftChars="300"/>
        <w:rPr>
          <w:rFonts w:ascii="微软雅黑" w:hAnsi="微软雅黑" w:eastAsia="微软雅黑"/>
          <w:b/>
          <w:color w:val="FF5B09"/>
          <w:sz w:val="30"/>
          <w:szCs w:val="30"/>
        </w:rPr>
      </w:pPr>
      <w:r>
        <w:rPr>
          <w:rFonts w:hint="eastAsia" w:ascii="微软雅黑" w:hAnsi="微软雅黑" w:eastAsia="微软雅黑"/>
          <w:b/>
          <w:color w:val="FF5B09"/>
          <w:sz w:val="30"/>
          <w:szCs w:val="30"/>
        </w:rPr>
        <w:t>课程特色</w:t>
      </w:r>
    </w:p>
    <w:p w14:paraId="3CD436CB">
      <w:pPr>
        <w:numPr>
          <w:ilvl w:val="0"/>
          <w:numId w:val="3"/>
        </w:numPr>
        <w:tabs>
          <w:tab w:val="right" w:pos="8306"/>
        </w:tabs>
        <w:spacing w:line="360" w:lineRule="auto"/>
        <w:ind w:left="1055" w:leftChars="0" w:hanging="425" w:firstLineChars="0"/>
        <w:rPr>
          <w:rFonts w:hint="eastAsia" w:ascii="微软雅黑" w:hAnsi="微软雅黑" w:eastAsia="微软雅黑"/>
          <w:lang w:val="en-US" w:eastAsia="zh-CN"/>
        </w:rPr>
      </w:pPr>
      <w:r>
        <w:rPr>
          <w:rFonts w:hint="eastAsia" w:ascii="微软雅黑" w:hAnsi="微软雅黑" w:eastAsia="微软雅黑"/>
          <w:lang w:val="en-US" w:eastAsia="zh-CN"/>
        </w:rPr>
        <w:t>引领招聘职能的战略方向，谋划招聘的落地战术。</w:t>
      </w:r>
    </w:p>
    <w:p w14:paraId="48B0F4BA">
      <w:pPr>
        <w:numPr>
          <w:ilvl w:val="0"/>
          <w:numId w:val="3"/>
        </w:numPr>
        <w:tabs>
          <w:tab w:val="right" w:pos="8306"/>
        </w:tabs>
        <w:spacing w:line="360" w:lineRule="auto"/>
        <w:ind w:left="1055" w:leftChars="0" w:hanging="425" w:firstLineChars="0"/>
        <w:rPr>
          <w:rFonts w:hint="eastAsia" w:ascii="微软雅黑" w:hAnsi="微软雅黑" w:eastAsia="微软雅黑"/>
          <w:lang w:val="en-US" w:eastAsia="zh-CN"/>
        </w:rPr>
      </w:pPr>
      <w:r>
        <w:rPr>
          <w:rFonts w:hint="eastAsia" w:ascii="微软雅黑" w:hAnsi="微软雅黑" w:eastAsia="微软雅黑"/>
          <w:lang w:val="en-US" w:eastAsia="zh-CN"/>
        </w:rPr>
        <w:t>提升招聘的战略思维，掌握招聘的落地要素，推行招聘的战略转型。</w:t>
      </w:r>
    </w:p>
    <w:p w14:paraId="54296C86">
      <w:pPr>
        <w:numPr>
          <w:ilvl w:val="0"/>
          <w:numId w:val="3"/>
        </w:numPr>
        <w:tabs>
          <w:tab w:val="right" w:pos="8306"/>
        </w:tabs>
        <w:spacing w:line="360" w:lineRule="auto"/>
        <w:ind w:left="1055" w:leftChars="0" w:hanging="425" w:firstLineChars="0"/>
        <w:rPr>
          <w:rFonts w:hint="eastAsia" w:ascii="微软雅黑" w:hAnsi="微软雅黑" w:eastAsia="微软雅黑"/>
          <w:lang w:val="en-US" w:eastAsia="zh-CN"/>
        </w:rPr>
      </w:pPr>
      <w:r>
        <w:rPr>
          <w:rFonts w:hint="eastAsia" w:ascii="微软雅黑" w:hAnsi="微软雅黑" w:eastAsia="微软雅黑"/>
          <w:lang w:val="en-US" w:eastAsia="zh-CN"/>
        </w:rPr>
        <w:t>实施招聘的战略转型，制定招聘的转型战术，提升团队的专业技能。</w:t>
      </w:r>
    </w:p>
    <w:p w14:paraId="242E977D">
      <w:pPr>
        <w:numPr>
          <w:ilvl w:val="0"/>
          <w:numId w:val="3"/>
        </w:numPr>
        <w:tabs>
          <w:tab w:val="right" w:pos="8306"/>
        </w:tabs>
        <w:spacing w:line="360" w:lineRule="auto"/>
        <w:ind w:left="1055" w:leftChars="0" w:hanging="425" w:firstLineChars="0"/>
        <w:rPr>
          <w:rFonts w:hint="eastAsia" w:ascii="微软雅黑" w:hAnsi="微软雅黑" w:eastAsia="微软雅黑"/>
          <w:lang w:val="en-US" w:eastAsia="zh-CN"/>
        </w:rPr>
      </w:pPr>
      <w:r>
        <w:rPr>
          <w:rFonts w:hint="eastAsia" w:ascii="微软雅黑" w:hAnsi="微软雅黑" w:eastAsia="微软雅黑"/>
          <w:lang w:val="en-US" w:eastAsia="zh-CN"/>
        </w:rPr>
        <w:t>了解招聘市场变化，打造招聘战略思维，提升自我的专业技能。</w:t>
      </w:r>
    </w:p>
    <w:p w14:paraId="5BE80527">
      <w:pPr>
        <w:rPr>
          <w:rFonts w:ascii="微软雅黑" w:hAnsi="微软雅黑" w:eastAsia="微软雅黑"/>
          <w:b/>
          <w:color w:val="ED7D31" w:themeColor="accent2"/>
          <w:sz w:val="24"/>
          <w14:textFill>
            <w14:solidFill>
              <w14:schemeClr w14:val="accent2"/>
            </w14:solidFill>
          </w14:textFill>
        </w:rPr>
      </w:pPr>
    </w:p>
    <w:p w14:paraId="6F1A9B82">
      <w:pPr>
        <w:tabs>
          <w:tab w:val="right" w:pos="8306"/>
        </w:tabs>
        <w:spacing w:line="360" w:lineRule="auto"/>
        <w:ind w:left="630" w:leftChars="300"/>
        <w:rPr>
          <w:rFonts w:ascii="微软雅黑" w:hAnsi="微软雅黑" w:eastAsia="微软雅黑"/>
          <w:b/>
          <w:color w:val="FF5B09"/>
          <w:sz w:val="30"/>
          <w:szCs w:val="30"/>
        </w:rPr>
      </w:pPr>
      <w:r>
        <w:rPr>
          <w:rFonts w:hint="eastAsia" w:ascii="微软雅黑" w:hAnsi="微软雅黑" w:eastAsia="微软雅黑"/>
          <w:b/>
          <w:color w:val="FF5B09"/>
          <w:sz w:val="30"/>
          <w:szCs w:val="30"/>
        </w:rPr>
        <w:t>课程</w:t>
      </w:r>
      <w:r>
        <w:rPr>
          <w:rFonts w:hint="eastAsia" w:ascii="微软雅黑" w:hAnsi="微软雅黑" w:eastAsia="微软雅黑"/>
          <w:b/>
          <w:color w:val="FF5B09"/>
          <w:sz w:val="30"/>
          <w:szCs w:val="30"/>
          <w:lang w:val="en-US" w:eastAsia="zh-CN"/>
        </w:rPr>
        <w:t>核心内容</w:t>
      </w:r>
      <w:r>
        <w:rPr>
          <w:rFonts w:hint="eastAsia" w:ascii="微软雅黑" w:hAnsi="微软雅黑" w:eastAsia="微软雅黑"/>
          <w:b/>
          <w:color w:val="FF5B09"/>
          <w:sz w:val="30"/>
          <w:szCs w:val="30"/>
        </w:rPr>
        <w:t>介绍</w:t>
      </w:r>
    </w:p>
    <w:p w14:paraId="2C25659E">
      <w:pPr>
        <w:tabs>
          <w:tab w:val="left" w:pos="720"/>
        </w:tabs>
        <w:spacing w:line="500" w:lineRule="exact"/>
        <w:ind w:left="630" w:leftChars="300"/>
        <w:rPr>
          <w:rFonts w:hint="eastAsia" w:ascii="微软雅黑" w:hAnsi="微软雅黑" w:eastAsia="微软雅黑"/>
          <w:b/>
          <w:color w:val="FF5B09"/>
          <w:sz w:val="28"/>
          <w:szCs w:val="28"/>
        </w:rPr>
      </w:pPr>
      <w:r>
        <w:rPr>
          <w:rFonts w:hint="eastAsia" w:ascii="微软雅黑" w:hAnsi="微软雅黑" w:eastAsia="微软雅黑"/>
          <w:b/>
          <w:color w:val="FF5B09"/>
          <w:sz w:val="28"/>
          <w:szCs w:val="28"/>
        </w:rPr>
        <w:t>第一部分：招聘战略制定到落地</w:t>
      </w:r>
    </w:p>
    <w:p w14:paraId="3CD2B495">
      <w:pPr>
        <w:numPr>
          <w:ilvl w:val="0"/>
          <w:numId w:val="4"/>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招聘的战略思维</w:t>
      </w:r>
    </w:p>
    <w:p w14:paraId="50181270">
      <w:pPr>
        <w:pStyle w:val="8"/>
        <w:numPr>
          <w:ilvl w:val="0"/>
          <w:numId w:val="5"/>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业务战略到人才战略</w:t>
      </w:r>
    </w:p>
    <w:p w14:paraId="40E055FC">
      <w:pPr>
        <w:pStyle w:val="8"/>
        <w:numPr>
          <w:ilvl w:val="0"/>
          <w:numId w:val="5"/>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人才战略到招聘战略</w:t>
      </w:r>
    </w:p>
    <w:p w14:paraId="65C237EA">
      <w:pPr>
        <w:pStyle w:val="8"/>
        <w:numPr>
          <w:ilvl w:val="0"/>
          <w:numId w:val="5"/>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招聘组织模式成熟度评估</w:t>
      </w:r>
    </w:p>
    <w:p w14:paraId="68699373">
      <w:pPr>
        <w:numPr>
          <w:ilvl w:val="0"/>
          <w:numId w:val="4"/>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招聘的战略执行</w:t>
      </w:r>
    </w:p>
    <w:p w14:paraId="3B45F632">
      <w:pPr>
        <w:pStyle w:val="8"/>
        <w:numPr>
          <w:ilvl w:val="0"/>
          <w:numId w:val="6"/>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寻找差异制订战术</w:t>
      </w:r>
    </w:p>
    <w:p w14:paraId="4D76EE18">
      <w:pPr>
        <w:pStyle w:val="8"/>
        <w:numPr>
          <w:ilvl w:val="0"/>
          <w:numId w:val="6"/>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根据战术制订公司的招聘战略</w:t>
      </w:r>
    </w:p>
    <w:p w14:paraId="07832E8F">
      <w:pPr>
        <w:pStyle w:val="8"/>
        <w:numPr>
          <w:ilvl w:val="0"/>
          <w:numId w:val="6"/>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验证战略的完整性</w:t>
      </w:r>
    </w:p>
    <w:p w14:paraId="0DE3F1B9">
      <w:pPr>
        <w:numPr>
          <w:ilvl w:val="0"/>
          <w:numId w:val="4"/>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招聘管理实操</w:t>
      </w:r>
    </w:p>
    <w:p w14:paraId="6AEBC0A6">
      <w:pPr>
        <w:pStyle w:val="8"/>
        <w:numPr>
          <w:ilvl w:val="0"/>
          <w:numId w:val="7"/>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招聘组织搭建</w:t>
      </w:r>
    </w:p>
    <w:p w14:paraId="54CACD52">
      <w:pPr>
        <w:pStyle w:val="8"/>
        <w:numPr>
          <w:ilvl w:val="0"/>
          <w:numId w:val="7"/>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招聘决策管理</w:t>
      </w:r>
    </w:p>
    <w:p w14:paraId="741664E6">
      <w:pPr>
        <w:pStyle w:val="8"/>
        <w:numPr>
          <w:ilvl w:val="0"/>
          <w:numId w:val="7"/>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招聘流程管理</w:t>
      </w:r>
    </w:p>
    <w:p w14:paraId="60A6C059">
      <w:pPr>
        <w:pStyle w:val="8"/>
        <w:numPr>
          <w:ilvl w:val="0"/>
          <w:numId w:val="7"/>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招聘系统和工具管理</w:t>
      </w:r>
    </w:p>
    <w:p w14:paraId="7516EDE8">
      <w:pPr>
        <w:numPr>
          <w:ilvl w:val="0"/>
          <w:numId w:val="4"/>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战略前瞻和战术夯实</w:t>
      </w:r>
    </w:p>
    <w:p w14:paraId="3114295A">
      <w:pPr>
        <w:pStyle w:val="8"/>
        <w:numPr>
          <w:ilvl w:val="0"/>
          <w:numId w:val="8"/>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前瞻- 雇主品牌的建设和维护</w:t>
      </w:r>
    </w:p>
    <w:p w14:paraId="2C981C19">
      <w:pPr>
        <w:pStyle w:val="8"/>
        <w:numPr>
          <w:ilvl w:val="0"/>
          <w:numId w:val="8"/>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夯实-候选人体验度的意识和提升</w:t>
      </w:r>
    </w:p>
    <w:p w14:paraId="2B27B20A">
      <w:pPr>
        <w:tabs>
          <w:tab w:val="right" w:pos="8306"/>
        </w:tabs>
        <w:spacing w:line="360" w:lineRule="auto"/>
        <w:ind w:left="630" w:leftChars="300"/>
        <w:rPr>
          <w:rFonts w:hint="eastAsia" w:ascii="微软雅黑" w:hAnsi="微软雅黑" w:eastAsia="微软雅黑"/>
          <w:b/>
          <w:color w:val="FF5B09"/>
          <w:sz w:val="28"/>
          <w:szCs w:val="28"/>
        </w:rPr>
      </w:pPr>
      <w:r>
        <w:rPr>
          <w:rFonts w:hint="eastAsia" w:ascii="微软雅黑" w:hAnsi="微软雅黑" w:eastAsia="微软雅黑"/>
          <w:b/>
          <w:color w:val="FF5B09"/>
          <w:sz w:val="28"/>
          <w:szCs w:val="28"/>
        </w:rPr>
        <w:t>第二部分：招聘渠道铺设和管理</w:t>
      </w:r>
    </w:p>
    <w:p w14:paraId="6C9C83E3">
      <w:pPr>
        <w:numPr>
          <w:ilvl w:val="0"/>
          <w:numId w:val="9"/>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招聘渠道的分析</w:t>
      </w:r>
    </w:p>
    <w:p w14:paraId="162D9057">
      <w:pPr>
        <w:pStyle w:val="8"/>
        <w:numPr>
          <w:ilvl w:val="0"/>
          <w:numId w:val="10"/>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渠道列表</w:t>
      </w:r>
    </w:p>
    <w:p w14:paraId="0503CB42">
      <w:pPr>
        <w:pStyle w:val="8"/>
        <w:numPr>
          <w:ilvl w:val="0"/>
          <w:numId w:val="10"/>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内外对比</w:t>
      </w:r>
    </w:p>
    <w:p w14:paraId="713BB067">
      <w:pPr>
        <w:pStyle w:val="8"/>
        <w:numPr>
          <w:ilvl w:val="0"/>
          <w:numId w:val="10"/>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主被动对比</w:t>
      </w:r>
    </w:p>
    <w:p w14:paraId="03BB50AC">
      <w:pPr>
        <w:pStyle w:val="8"/>
        <w:numPr>
          <w:ilvl w:val="0"/>
          <w:numId w:val="10"/>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成本对比</w:t>
      </w:r>
    </w:p>
    <w:p w14:paraId="628F290A">
      <w:pPr>
        <w:pStyle w:val="8"/>
        <w:numPr>
          <w:ilvl w:val="0"/>
          <w:numId w:val="10"/>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效性对比</w:t>
      </w:r>
    </w:p>
    <w:p w14:paraId="59288F90">
      <w:pPr>
        <w:numPr>
          <w:ilvl w:val="0"/>
          <w:numId w:val="9"/>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招聘渠道的选择</w:t>
      </w:r>
    </w:p>
    <w:p w14:paraId="02CE0DEB">
      <w:pPr>
        <w:pStyle w:val="8"/>
        <w:numPr>
          <w:ilvl w:val="0"/>
          <w:numId w:val="11"/>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传统媒体对比社交媒体</w:t>
      </w:r>
    </w:p>
    <w:p w14:paraId="6064CDB5">
      <w:pPr>
        <w:pStyle w:val="8"/>
        <w:numPr>
          <w:ilvl w:val="0"/>
          <w:numId w:val="11"/>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固化媒体对比移动招聘</w:t>
      </w:r>
    </w:p>
    <w:p w14:paraId="6807F15E">
      <w:pPr>
        <w:pStyle w:val="8"/>
        <w:numPr>
          <w:ilvl w:val="0"/>
          <w:numId w:val="11"/>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横向多，纵向少</w:t>
      </w:r>
    </w:p>
    <w:p w14:paraId="1F3CDE8E">
      <w:pPr>
        <w:pStyle w:val="8"/>
        <w:numPr>
          <w:ilvl w:val="0"/>
          <w:numId w:val="11"/>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粗犷强，精细弱</w:t>
      </w:r>
    </w:p>
    <w:p w14:paraId="3A9D612A">
      <w:pPr>
        <w:numPr>
          <w:ilvl w:val="0"/>
          <w:numId w:val="9"/>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招聘渠道的红海和蓝海</w:t>
      </w:r>
    </w:p>
    <w:p w14:paraId="05F96138">
      <w:pPr>
        <w:pStyle w:val="8"/>
        <w:numPr>
          <w:ilvl w:val="0"/>
          <w:numId w:val="12"/>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直接搜猎的概念</w:t>
      </w:r>
    </w:p>
    <w:p w14:paraId="1EED2BF9">
      <w:pPr>
        <w:pStyle w:val="8"/>
        <w:numPr>
          <w:ilvl w:val="0"/>
          <w:numId w:val="12"/>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新兴渠道案例解析</w:t>
      </w:r>
    </w:p>
    <w:p w14:paraId="63E395A5">
      <w:pPr>
        <w:tabs>
          <w:tab w:val="right" w:pos="8306"/>
        </w:tabs>
        <w:spacing w:line="360" w:lineRule="auto"/>
        <w:ind w:left="630" w:leftChars="300"/>
        <w:rPr>
          <w:rFonts w:ascii="微软雅黑" w:hAnsi="微软雅黑" w:eastAsia="微软雅黑"/>
          <w:b/>
          <w:color w:val="FF5B09"/>
          <w:sz w:val="28"/>
          <w:szCs w:val="28"/>
        </w:rPr>
      </w:pPr>
      <w:r>
        <w:rPr>
          <w:rFonts w:hint="eastAsia" w:ascii="微软雅黑" w:hAnsi="微软雅黑" w:eastAsia="微软雅黑"/>
          <w:b/>
          <w:color w:val="FF5B09"/>
          <w:sz w:val="28"/>
          <w:szCs w:val="28"/>
        </w:rPr>
        <w:t>第三部分：招聘的沟通和影响力</w:t>
      </w:r>
    </w:p>
    <w:p w14:paraId="2F4AFA3C">
      <w:pPr>
        <w:numPr>
          <w:ilvl w:val="0"/>
          <w:numId w:val="13"/>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招聘管理中沟通建立</w:t>
      </w:r>
    </w:p>
    <w:p w14:paraId="0172B711">
      <w:pPr>
        <w:pStyle w:val="8"/>
        <w:numPr>
          <w:ilvl w:val="0"/>
          <w:numId w:val="14"/>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招聘管理中的沟通挑战和应对</w:t>
      </w:r>
    </w:p>
    <w:p w14:paraId="58F7EC94">
      <w:pPr>
        <w:pStyle w:val="8"/>
        <w:numPr>
          <w:ilvl w:val="0"/>
          <w:numId w:val="14"/>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招聘管理中沟通的类型及内容</w:t>
      </w:r>
    </w:p>
    <w:p w14:paraId="73AC74D9">
      <w:pPr>
        <w:pStyle w:val="8"/>
        <w:numPr>
          <w:ilvl w:val="0"/>
          <w:numId w:val="14"/>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招聘管理沟通的平台搭建和参与度</w:t>
      </w:r>
    </w:p>
    <w:p w14:paraId="35C7CEA9">
      <w:pPr>
        <w:numPr>
          <w:ilvl w:val="0"/>
          <w:numId w:val="13"/>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招聘阵营联盟的沟通管理</w:t>
      </w:r>
    </w:p>
    <w:p w14:paraId="5FE59E97">
      <w:pPr>
        <w:pStyle w:val="8"/>
        <w:numPr>
          <w:ilvl w:val="0"/>
          <w:numId w:val="15"/>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获得招聘沟通前的信任</w:t>
      </w:r>
    </w:p>
    <w:p w14:paraId="6F0B10EE">
      <w:pPr>
        <w:pStyle w:val="8"/>
        <w:numPr>
          <w:ilvl w:val="0"/>
          <w:numId w:val="15"/>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学习用业务的语言进行招聘沟通</w:t>
      </w:r>
    </w:p>
    <w:p w14:paraId="22E274E1">
      <w:pPr>
        <w:pStyle w:val="8"/>
        <w:numPr>
          <w:ilvl w:val="0"/>
          <w:numId w:val="15"/>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站在沟通对象的角度提升招聘沟通的效率</w:t>
      </w:r>
    </w:p>
    <w:p w14:paraId="38ED6FB3">
      <w:pPr>
        <w:pStyle w:val="8"/>
        <w:numPr>
          <w:ilvl w:val="0"/>
          <w:numId w:val="15"/>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借力使力和创造招聘沟通的附加值</w:t>
      </w:r>
    </w:p>
    <w:p w14:paraId="468D502D">
      <w:pPr>
        <w:numPr>
          <w:ilvl w:val="0"/>
          <w:numId w:val="13"/>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有力招聘沟通的内容管理</w:t>
      </w:r>
    </w:p>
    <w:p w14:paraId="05D9A2EF">
      <w:pPr>
        <w:pStyle w:val="8"/>
        <w:numPr>
          <w:ilvl w:val="0"/>
          <w:numId w:val="16"/>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招聘数据的力量</w:t>
      </w:r>
    </w:p>
    <w:p w14:paraId="08E97CF3">
      <w:pPr>
        <w:pStyle w:val="8"/>
        <w:numPr>
          <w:ilvl w:val="0"/>
          <w:numId w:val="16"/>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招聘沟通中数据的选择</w:t>
      </w:r>
    </w:p>
    <w:p w14:paraId="64BCC77D">
      <w:pPr>
        <w:pStyle w:val="8"/>
        <w:numPr>
          <w:ilvl w:val="0"/>
          <w:numId w:val="16"/>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招聘数据管理和运用</w:t>
      </w:r>
    </w:p>
    <w:p w14:paraId="17ED4D79">
      <w:pPr>
        <w:numPr>
          <w:ilvl w:val="0"/>
          <w:numId w:val="13"/>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有效招聘沟通的逻辑展示</w:t>
      </w:r>
    </w:p>
    <w:p w14:paraId="5C594D8F">
      <w:pPr>
        <w:pStyle w:val="8"/>
        <w:numPr>
          <w:ilvl w:val="0"/>
          <w:numId w:val="17"/>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招聘管理中沟通效力的挑战和解决途径</w:t>
      </w:r>
    </w:p>
    <w:p w14:paraId="124BCF46">
      <w:pPr>
        <w:pStyle w:val="8"/>
        <w:numPr>
          <w:ilvl w:val="0"/>
          <w:numId w:val="17"/>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有效招聘沟通遵循的规律</w:t>
      </w:r>
    </w:p>
    <w:p w14:paraId="1CEAC628">
      <w:pPr>
        <w:pStyle w:val="8"/>
        <w:numPr>
          <w:ilvl w:val="0"/>
          <w:numId w:val="17"/>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高效顾问式沟通在招聘中的使用</w:t>
      </w:r>
    </w:p>
    <w:p w14:paraId="71335928">
      <w:pPr>
        <w:tabs>
          <w:tab w:val="right" w:pos="8306"/>
        </w:tabs>
        <w:spacing w:line="360" w:lineRule="auto"/>
        <w:ind w:left="630" w:leftChars="300"/>
        <w:rPr>
          <w:rFonts w:ascii="微软雅黑" w:hAnsi="微软雅黑" w:eastAsia="微软雅黑"/>
          <w:b/>
          <w:color w:val="FF5B09"/>
          <w:sz w:val="28"/>
          <w:szCs w:val="28"/>
        </w:rPr>
      </w:pPr>
      <w:r>
        <w:rPr>
          <w:rFonts w:hint="eastAsia" w:ascii="微软雅黑" w:hAnsi="微软雅黑" w:eastAsia="微软雅黑"/>
          <w:b/>
          <w:color w:val="FF5B09"/>
          <w:sz w:val="28"/>
          <w:szCs w:val="28"/>
        </w:rPr>
        <w:t>第四部分：招聘战略技能再造</w:t>
      </w:r>
    </w:p>
    <w:p w14:paraId="77839517">
      <w:pPr>
        <w:numPr>
          <w:ilvl w:val="0"/>
          <w:numId w:val="18"/>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招聘实施的基石-人才规划</w:t>
      </w:r>
    </w:p>
    <w:p w14:paraId="55C9B959">
      <w:pPr>
        <w:pStyle w:val="8"/>
        <w:numPr>
          <w:ilvl w:val="0"/>
          <w:numId w:val="19"/>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高效业务沟通了解人才需求</w:t>
      </w:r>
    </w:p>
    <w:p w14:paraId="7AD9B88E">
      <w:pPr>
        <w:pStyle w:val="8"/>
        <w:numPr>
          <w:ilvl w:val="0"/>
          <w:numId w:val="19"/>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人才市场的分析</w:t>
      </w:r>
    </w:p>
    <w:p w14:paraId="622B5873">
      <w:pPr>
        <w:pStyle w:val="8"/>
        <w:numPr>
          <w:ilvl w:val="0"/>
          <w:numId w:val="19"/>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内外人才盘点的实施</w:t>
      </w:r>
    </w:p>
    <w:p w14:paraId="2D89BE51">
      <w:pPr>
        <w:pStyle w:val="8"/>
        <w:numPr>
          <w:ilvl w:val="0"/>
          <w:numId w:val="19"/>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人才地图的规划</w:t>
      </w:r>
    </w:p>
    <w:p w14:paraId="29C67BF6">
      <w:pPr>
        <w:numPr>
          <w:ilvl w:val="0"/>
          <w:numId w:val="18"/>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 xml:space="preserve"> 招聘决策的跟进-薪酬谈判</w:t>
      </w:r>
    </w:p>
    <w:p w14:paraId="68ADD731">
      <w:pPr>
        <w:pStyle w:val="8"/>
        <w:numPr>
          <w:ilvl w:val="0"/>
          <w:numId w:val="20"/>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薪酬谈判的前提</w:t>
      </w:r>
    </w:p>
    <w:p w14:paraId="628D9B70">
      <w:pPr>
        <w:pStyle w:val="8"/>
        <w:numPr>
          <w:ilvl w:val="0"/>
          <w:numId w:val="20"/>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薪酬谈判的本质</w:t>
      </w:r>
    </w:p>
    <w:p w14:paraId="5D4264D5">
      <w:pPr>
        <w:pStyle w:val="8"/>
        <w:numPr>
          <w:ilvl w:val="0"/>
          <w:numId w:val="20"/>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薪酬谈判的“技”和“艺”</w:t>
      </w:r>
    </w:p>
    <w:p w14:paraId="7285FC59">
      <w:pPr>
        <w:numPr>
          <w:ilvl w:val="0"/>
          <w:numId w:val="18"/>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 xml:space="preserve"> CRM候选人关系管理</w:t>
      </w:r>
    </w:p>
    <w:p w14:paraId="4724AA29">
      <w:pPr>
        <w:pStyle w:val="8"/>
        <w:numPr>
          <w:ilvl w:val="0"/>
          <w:numId w:val="21"/>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被动候选人的链接</w:t>
      </w:r>
    </w:p>
    <w:p w14:paraId="321C32CB">
      <w:pPr>
        <w:pStyle w:val="8"/>
        <w:numPr>
          <w:ilvl w:val="0"/>
          <w:numId w:val="21"/>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面试邀约的技巧</w:t>
      </w:r>
    </w:p>
    <w:p w14:paraId="10BE4C7E">
      <w:pPr>
        <w:pStyle w:val="8"/>
        <w:numPr>
          <w:ilvl w:val="0"/>
          <w:numId w:val="21"/>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面试流程中候选人的管理</w:t>
      </w:r>
    </w:p>
    <w:p w14:paraId="2AF2A0E0">
      <w:pPr>
        <w:pStyle w:val="8"/>
        <w:numPr>
          <w:ilvl w:val="0"/>
          <w:numId w:val="21"/>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目标候选人的融入</w:t>
      </w:r>
    </w:p>
    <w:p w14:paraId="68450C33">
      <w:pPr>
        <w:numPr>
          <w:ilvl w:val="0"/>
          <w:numId w:val="18"/>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招聘项目管理</w:t>
      </w:r>
    </w:p>
    <w:p w14:paraId="7FAA5CA8">
      <w:pPr>
        <w:pStyle w:val="8"/>
        <w:numPr>
          <w:ilvl w:val="0"/>
          <w:numId w:val="22"/>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项目规划的建立</w:t>
      </w:r>
    </w:p>
    <w:p w14:paraId="6923E22F">
      <w:pPr>
        <w:pStyle w:val="8"/>
        <w:numPr>
          <w:ilvl w:val="0"/>
          <w:numId w:val="22"/>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项目管理的管控要点</w:t>
      </w:r>
    </w:p>
    <w:p w14:paraId="64A7EA02">
      <w:pPr>
        <w:pStyle w:val="8"/>
        <w:numPr>
          <w:ilvl w:val="0"/>
          <w:numId w:val="22"/>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招聘项目管理的技能</w:t>
      </w:r>
    </w:p>
    <w:p w14:paraId="5E247981">
      <w:pPr>
        <w:numPr>
          <w:ilvl w:val="0"/>
          <w:numId w:val="18"/>
        </w:numPr>
        <w:tabs>
          <w:tab w:val="right" w:pos="8306"/>
        </w:tabs>
        <w:spacing w:line="360" w:lineRule="auto"/>
        <w:ind w:left="1055" w:leftChars="0" w:hanging="425" w:firstLineChars="0"/>
        <w:rPr>
          <w:rFonts w:hint="eastAsia" w:ascii="微软雅黑" w:hAnsi="微软雅黑" w:eastAsia="微软雅黑" w:cs="微软雅黑"/>
          <w:b/>
          <w:bCs/>
          <w:szCs w:val="21"/>
        </w:rPr>
      </w:pPr>
      <w:r>
        <w:rPr>
          <w:rFonts w:hint="eastAsia" w:ascii="微软雅黑" w:hAnsi="微软雅黑" w:eastAsia="微软雅黑" w:cs="微软雅黑"/>
          <w:b/>
          <w:bCs/>
          <w:szCs w:val="21"/>
        </w:rPr>
        <w:t xml:space="preserve"> 招聘的合规管理</w:t>
      </w:r>
    </w:p>
    <w:p w14:paraId="75492ABC">
      <w:pPr>
        <w:pStyle w:val="8"/>
        <w:numPr>
          <w:ilvl w:val="0"/>
          <w:numId w:val="23"/>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招聘合规意识的重要性</w:t>
      </w:r>
    </w:p>
    <w:p w14:paraId="5648ECF0">
      <w:pPr>
        <w:pStyle w:val="8"/>
        <w:numPr>
          <w:ilvl w:val="0"/>
          <w:numId w:val="23"/>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招聘流程中的合规风险</w:t>
      </w:r>
    </w:p>
    <w:p w14:paraId="6AF6B036">
      <w:pPr>
        <w:pStyle w:val="8"/>
        <w:numPr>
          <w:ilvl w:val="0"/>
          <w:numId w:val="23"/>
        </w:numPr>
        <w:tabs>
          <w:tab w:val="right" w:pos="8306"/>
        </w:tabs>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招聘的合规应对</w:t>
      </w:r>
    </w:p>
    <w:p w14:paraId="42ABD673">
      <w:pPr>
        <w:pStyle w:val="8"/>
        <w:numPr>
          <w:ilvl w:val="0"/>
          <w:numId w:val="0"/>
        </w:numPr>
        <w:tabs>
          <w:tab w:val="right" w:pos="8306"/>
        </w:tabs>
        <w:spacing w:line="360" w:lineRule="auto"/>
        <w:ind w:left="630" w:leftChars="0"/>
        <w:rPr>
          <w:rFonts w:hint="eastAsia" w:ascii="微软雅黑" w:hAnsi="微软雅黑" w:eastAsia="微软雅黑" w:cs="微软雅黑"/>
          <w:szCs w:val="21"/>
        </w:rPr>
      </w:pPr>
    </w:p>
    <w:p w14:paraId="1FBE5902">
      <w:pPr>
        <w:pStyle w:val="8"/>
        <w:numPr>
          <w:ilvl w:val="0"/>
          <w:numId w:val="0"/>
        </w:numPr>
        <w:tabs>
          <w:tab w:val="right" w:pos="8306"/>
        </w:tabs>
        <w:spacing w:line="360" w:lineRule="auto"/>
        <w:ind w:left="630" w:leftChars="0"/>
        <w:rPr>
          <w:rFonts w:hint="eastAsia" w:ascii="微软雅黑" w:hAnsi="微软雅黑" w:eastAsia="微软雅黑" w:cs="微软雅黑"/>
          <w:szCs w:val="21"/>
        </w:rPr>
      </w:pPr>
    </w:p>
    <w:p w14:paraId="37AAD34C">
      <w:pPr>
        <w:tabs>
          <w:tab w:val="right" w:pos="8306"/>
        </w:tabs>
        <w:spacing w:line="360" w:lineRule="auto"/>
        <w:ind w:left="630" w:leftChars="300"/>
        <w:rPr>
          <w:rFonts w:ascii="微软雅黑" w:hAnsi="微软雅黑" w:eastAsia="微软雅黑"/>
          <w:b/>
          <w:color w:val="FF5B09"/>
          <w:sz w:val="36"/>
          <w:szCs w:val="36"/>
        </w:rPr>
      </w:pPr>
      <w:r>
        <w:rPr>
          <w:rFonts w:ascii="微软雅黑" w:hAnsi="微软雅黑" w:eastAsia="微软雅黑"/>
          <w:b/>
          <w:color w:val="FF5B09"/>
          <w:sz w:val="36"/>
          <w:szCs w:val="36"/>
        </w:rPr>
        <mc:AlternateContent>
          <mc:Choice Requires="wps">
            <w:drawing>
              <wp:anchor distT="0" distB="0" distL="114300" distR="114300" simplePos="0" relativeHeight="251660288" behindDoc="0" locked="0" layoutInCell="1" allowOverlap="1">
                <wp:simplePos x="0" y="0"/>
                <wp:positionH relativeFrom="column">
                  <wp:posOffset>4472940</wp:posOffset>
                </wp:positionH>
                <wp:positionV relativeFrom="paragraph">
                  <wp:posOffset>170180</wp:posOffset>
                </wp:positionV>
                <wp:extent cx="1950720" cy="2285365"/>
                <wp:effectExtent l="0" t="0" r="0" b="635"/>
                <wp:wrapNone/>
                <wp:docPr id="1" name="文本框 12"/>
                <wp:cNvGraphicFramePr/>
                <a:graphic xmlns:a="http://schemas.openxmlformats.org/drawingml/2006/main">
                  <a:graphicData uri="http://schemas.microsoft.com/office/word/2010/wordprocessingShape">
                    <wps:wsp>
                      <wps:cNvSpPr txBox="1"/>
                      <wps:spPr>
                        <a:xfrm>
                          <a:off x="0" y="0"/>
                          <a:ext cx="1950720" cy="2285365"/>
                        </a:xfrm>
                        <a:prstGeom prst="rect">
                          <a:avLst/>
                        </a:prstGeom>
                        <a:solidFill>
                          <a:srgbClr val="FFFFFF"/>
                        </a:solidFill>
                        <a:ln>
                          <a:noFill/>
                        </a:ln>
                      </wps:spPr>
                      <wps:txbx>
                        <w:txbxContent>
                          <w:p w14:paraId="2066C44A">
                            <w:r>
                              <w:rPr>
                                <w:rFonts w:hint="eastAsia"/>
                                <w:b/>
                                <w:bCs/>
                                <w:sz w:val="28"/>
                                <w:szCs w:val="32"/>
                              </w:rPr>
                              <w:drawing>
                                <wp:inline distT="0" distB="0" distL="0" distR="0">
                                  <wp:extent cx="1920875" cy="2427605"/>
                                  <wp:effectExtent l="0" t="0" r="14605" b="1079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921025" cy="2428175"/>
                                          </a:xfrm>
                                          <a:prstGeom prst="rect">
                                            <a:avLst/>
                                          </a:prstGeom>
                                        </pic:spPr>
                                      </pic:pic>
                                    </a:graphicData>
                                  </a:graphic>
                                </wp:inline>
                              </w:drawing>
                            </w:r>
                          </w:p>
                        </w:txbxContent>
                      </wps:txbx>
                      <wps:bodyPr upright="1"/>
                    </wps:wsp>
                  </a:graphicData>
                </a:graphic>
              </wp:anchor>
            </w:drawing>
          </mc:Choice>
          <mc:Fallback>
            <w:pict>
              <v:shape id="文本框 12" o:spid="_x0000_s1026" o:spt="202" type="#_x0000_t202" style="position:absolute;left:0pt;margin-left:352.2pt;margin-top:13.4pt;height:179.95pt;width:153.6pt;z-index:251660288;mso-width-relative:page;mso-height-relative:page;" fillcolor="#FFFFFF" filled="t" stroked="f" coordsize="21600,21600" o:gfxdata="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kzQmTYAAAACwEAAA8AAAAAAAAAAQAgAAAAIgAAAGRycy9kb3ducmV2Lnht&#10;bFBLAQIUABQAAAAIAIdO4kBtnXFPwAEAAHkDAAAOAAAAAAAAAAEAIAAAACcBAABkcnMvZTJvRG9j&#10;LnhtbFBLBQYAAAAABgAGAFkBAABZBQAAAAA=&#10;">
                <v:fill on="t" focussize="0,0"/>
                <v:stroke on="f"/>
                <v:imagedata o:title=""/>
                <o:lock v:ext="edit" aspectratio="f"/>
                <v:textbox>
                  <w:txbxContent>
                    <w:p w14:paraId="2066C44A">
                      <w:r>
                        <w:rPr>
                          <w:rFonts w:hint="eastAsia"/>
                          <w:b/>
                          <w:bCs/>
                          <w:sz w:val="28"/>
                          <w:szCs w:val="32"/>
                        </w:rPr>
                        <w:drawing>
                          <wp:inline distT="0" distB="0" distL="0" distR="0">
                            <wp:extent cx="1920875" cy="2427605"/>
                            <wp:effectExtent l="0" t="0" r="14605" b="1079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921025" cy="2428175"/>
                                    </a:xfrm>
                                    <a:prstGeom prst="rect">
                                      <a:avLst/>
                                    </a:prstGeom>
                                  </pic:spPr>
                                </pic:pic>
                              </a:graphicData>
                            </a:graphic>
                          </wp:inline>
                        </w:drawing>
                      </w:r>
                    </w:p>
                  </w:txbxContent>
                </v:textbox>
              </v:shape>
            </w:pict>
          </mc:Fallback>
        </mc:AlternateContent>
      </w:r>
      <w:r>
        <w:rPr>
          <w:rFonts w:hint="eastAsia" w:ascii="微软雅黑" w:hAnsi="微软雅黑" w:eastAsia="微软雅黑"/>
          <w:b/>
          <w:color w:val="FF5B09"/>
          <w:sz w:val="36"/>
          <w:szCs w:val="36"/>
        </w:rPr>
        <w:t>讲师简介</w:t>
      </w:r>
    </w:p>
    <w:p w14:paraId="2F78E37A">
      <w:pPr>
        <w:spacing w:line="500" w:lineRule="exact"/>
        <w:ind w:left="630" w:leftChars="300"/>
        <w:jc w:val="left"/>
        <w:rPr>
          <w:rFonts w:ascii="微软雅黑" w:hAnsi="微软雅黑" w:eastAsia="微软雅黑" w:cs="微软雅黑"/>
          <w:b/>
          <w:bCs/>
          <w:sz w:val="28"/>
          <w:szCs w:val="28"/>
        </w:rPr>
      </w:pPr>
      <w:r>
        <w:rPr>
          <w:rFonts w:hint="eastAsia" w:ascii="微软雅黑" w:hAnsi="微软雅黑" w:eastAsia="微软雅黑" w:cs="微软雅黑"/>
          <w:b/>
          <w:bCs/>
          <w:sz w:val="28"/>
          <w:szCs w:val="28"/>
        </w:rPr>
        <w:t>古老师</w:t>
      </w:r>
    </w:p>
    <w:p w14:paraId="067234A1">
      <w:pPr>
        <w:pStyle w:val="8"/>
        <w:spacing w:line="500" w:lineRule="exact"/>
        <w:ind w:left="420" w:leftChars="200" w:firstLine="0" w:firstLineChars="0"/>
        <w:jc w:val="left"/>
        <w:rPr>
          <w:rFonts w:hint="eastAsia" w:ascii="微软雅黑" w:hAnsi="微软雅黑" w:eastAsia="微软雅黑" w:cs="微软雅黑"/>
          <w:szCs w:val="21"/>
        </w:rPr>
      </w:pPr>
      <w:r>
        <w:rPr>
          <w:rFonts w:hint="eastAsia" w:ascii="微软雅黑" w:hAnsi="微软雅黑" w:eastAsia="微软雅黑" w:cs="微软雅黑"/>
          <w:szCs w:val="21"/>
        </w:rPr>
        <w:t>某外资人力资源助理副总裁</w:t>
      </w:r>
    </w:p>
    <w:p w14:paraId="1449FB25">
      <w:pPr>
        <w:pStyle w:val="8"/>
        <w:spacing w:line="500" w:lineRule="exact"/>
        <w:ind w:left="420" w:leftChars="200" w:firstLine="0" w:firstLineChars="0"/>
        <w:jc w:val="left"/>
        <w:rPr>
          <w:rFonts w:hint="eastAsia" w:ascii="微软雅黑" w:hAnsi="微软雅黑" w:eastAsia="微软雅黑" w:cs="微软雅黑"/>
          <w:szCs w:val="21"/>
        </w:rPr>
      </w:pPr>
      <w:r>
        <w:rPr>
          <w:rFonts w:hint="eastAsia" w:ascii="微软雅黑" w:hAnsi="微软雅黑" w:eastAsia="微软雅黑" w:cs="微软雅黑"/>
          <w:szCs w:val="21"/>
        </w:rPr>
        <w:t>达索亚太区招聘总监</w:t>
      </w:r>
    </w:p>
    <w:p w14:paraId="2D2A99F5">
      <w:pPr>
        <w:pStyle w:val="8"/>
        <w:spacing w:line="500" w:lineRule="exact"/>
        <w:ind w:left="420" w:leftChars="200" w:firstLine="0" w:firstLineChars="0"/>
        <w:jc w:val="left"/>
        <w:rPr>
          <w:rFonts w:hint="eastAsia" w:ascii="微软雅黑" w:hAnsi="微软雅黑" w:eastAsia="微软雅黑" w:cs="微软雅黑"/>
          <w:szCs w:val="21"/>
        </w:rPr>
      </w:pPr>
      <w:r>
        <w:rPr>
          <w:rFonts w:hint="eastAsia" w:ascii="微软雅黑" w:hAnsi="微软雅黑" w:eastAsia="微软雅黑" w:cs="微软雅黑"/>
          <w:szCs w:val="21"/>
        </w:rPr>
        <w:t>英格索兰亚太区招聘总监</w:t>
      </w:r>
    </w:p>
    <w:p w14:paraId="1748B8A9">
      <w:pPr>
        <w:pStyle w:val="8"/>
        <w:spacing w:line="500" w:lineRule="exact"/>
        <w:ind w:left="420" w:leftChars="200" w:firstLine="0" w:firstLineChars="0"/>
        <w:jc w:val="left"/>
        <w:rPr>
          <w:rFonts w:hint="eastAsia" w:ascii="微软雅黑" w:hAnsi="微软雅黑" w:eastAsia="微软雅黑" w:cs="微软雅黑"/>
          <w:szCs w:val="21"/>
        </w:rPr>
      </w:pPr>
      <w:r>
        <w:rPr>
          <w:rFonts w:hint="eastAsia" w:ascii="微软雅黑" w:hAnsi="微软雅黑" w:eastAsia="微软雅黑" w:cs="微软雅黑"/>
          <w:szCs w:val="21"/>
        </w:rPr>
        <w:t>霍尼韦尔亚太区招聘总监</w:t>
      </w:r>
    </w:p>
    <w:p w14:paraId="55725833">
      <w:pPr>
        <w:pStyle w:val="8"/>
        <w:spacing w:line="500" w:lineRule="exact"/>
        <w:ind w:left="420" w:leftChars="200" w:firstLine="0" w:firstLineChars="0"/>
        <w:jc w:val="left"/>
        <w:rPr>
          <w:rFonts w:hint="eastAsia" w:ascii="微软雅黑" w:hAnsi="微软雅黑" w:eastAsia="微软雅黑" w:cs="微软雅黑"/>
          <w:szCs w:val="21"/>
        </w:rPr>
      </w:pPr>
      <w:r>
        <w:rPr>
          <w:rFonts w:hint="eastAsia" w:ascii="微软雅黑" w:hAnsi="微软雅黑" w:eastAsia="微软雅黑" w:cs="微软雅黑"/>
          <w:szCs w:val="21"/>
        </w:rPr>
        <w:t>贝卡尔特亚太区资深招聘经理</w:t>
      </w:r>
    </w:p>
    <w:p w14:paraId="3DB42971">
      <w:pPr>
        <w:pStyle w:val="8"/>
        <w:spacing w:line="500" w:lineRule="exact"/>
        <w:ind w:left="420" w:leftChars="200" w:firstLine="0" w:firstLineChars="0"/>
        <w:jc w:val="left"/>
        <w:rPr>
          <w:rFonts w:hint="eastAsia" w:ascii="微软雅黑" w:hAnsi="微软雅黑" w:eastAsia="微软雅黑" w:cs="微软雅黑"/>
          <w:szCs w:val="21"/>
        </w:rPr>
      </w:pPr>
      <w:r>
        <w:rPr>
          <w:rFonts w:hint="eastAsia" w:ascii="微软雅黑" w:hAnsi="微软雅黑" w:eastAsia="微软雅黑" w:cs="微软雅黑"/>
          <w:szCs w:val="21"/>
        </w:rPr>
        <w:t>ABB中国中国区资深HR经理</w:t>
      </w:r>
    </w:p>
    <w:p w14:paraId="1DE62706">
      <w:pPr>
        <w:spacing w:line="360" w:lineRule="auto"/>
        <w:ind w:left="630" w:leftChars="300" w:right="210" w:rightChars="100"/>
        <w:rPr>
          <w:rFonts w:hint="eastAsia" w:ascii="微软雅黑" w:hAnsi="微软雅黑" w:eastAsia="微软雅黑" w:cs="微软雅黑"/>
          <w:szCs w:val="21"/>
        </w:rPr>
      </w:pPr>
      <w:r>
        <w:rPr>
          <w:rFonts w:hint="eastAsia" w:ascii="微软雅黑" w:hAnsi="微软雅黑" w:eastAsia="微软雅黑" w:cs="微软雅黑"/>
          <w:szCs w:val="21"/>
        </w:rPr>
        <w:t>古老师拥有近30年的人力资源管理经验，现任一家外资机构的人力资源助理副总裁，负责集团的招聘TA团队和两个业务事业部的HRBP团队的建设打造和支持管理,并引领人力资源团队的变革转型。 她主导人力资源的管理，特别是中国区，亚太区的招聘管理和变革上积累了丰富的经验。长期任职五百强外企中国和亚太区的招聘总监一职，也让她成为招聘领域的专家。她长期在企业里的HR实战经验和心得体会，会带给你全新的视野，并丰富你的实操运用。她在承担亚太区招聘总监的同时也曾被授证作为全球的招聘培训大师。作为公司的招聘培训培训师的任证大师，她给公司内部中国，新加坡，马来西亚，泰国等人力资源部，招聘部和业务经理们授证达500多人次。</w:t>
      </w:r>
    </w:p>
    <w:p w14:paraId="606762A2">
      <w:pPr>
        <w:tabs>
          <w:tab w:val="right" w:pos="8306"/>
        </w:tabs>
        <w:spacing w:line="360" w:lineRule="auto"/>
        <w:ind w:left="630" w:leftChars="300"/>
        <w:rPr>
          <w:rFonts w:hint="default" w:ascii="微软雅黑" w:hAnsi="微软雅黑" w:eastAsia="微软雅黑"/>
          <w:b/>
          <w:color w:val="000000" w:themeColor="text1"/>
          <w:sz w:val="24"/>
          <w:szCs w:val="24"/>
          <w:lang w:val="en-US" w:eastAsia="zh-CN"/>
          <w14:textFill>
            <w14:solidFill>
              <w14:schemeClr w14:val="tx1"/>
            </w14:solidFill>
          </w14:textFill>
        </w:rPr>
      </w:pPr>
      <w:r>
        <w:rPr>
          <w:rFonts w:hint="eastAsia" w:ascii="微软雅黑" w:hAnsi="微软雅黑" w:eastAsia="微软雅黑"/>
          <w:b/>
          <w:color w:val="000000" w:themeColor="text1"/>
          <w:sz w:val="24"/>
          <w:szCs w:val="24"/>
          <w:lang w:val="en-US" w:eastAsia="zh-CN"/>
          <w14:textFill>
            <w14:solidFill>
              <w14:schemeClr w14:val="tx1"/>
            </w14:solidFill>
          </w14:textFill>
        </w:rPr>
        <w:t>项目经历</w:t>
      </w:r>
    </w:p>
    <w:p w14:paraId="4D801E8F">
      <w:pPr>
        <w:spacing w:line="360" w:lineRule="auto"/>
        <w:ind w:left="630" w:leftChars="300" w:right="210" w:rightChars="100"/>
        <w:rPr>
          <w:rFonts w:hint="eastAsia" w:ascii="微软雅黑" w:hAnsi="微软雅黑" w:eastAsia="微软雅黑" w:cs="微软雅黑"/>
          <w:szCs w:val="21"/>
        </w:rPr>
      </w:pPr>
      <w:r>
        <w:rPr>
          <w:rFonts w:hint="eastAsia" w:ascii="微软雅黑" w:hAnsi="微软雅黑" w:eastAsia="微软雅黑" w:cs="微软雅黑"/>
          <w:szCs w:val="21"/>
        </w:rPr>
        <w:t>为一欧洲跨国高科技行业公司和一美国制造型跨国公司提供企业内部外部人才地图规划(Talent Mapping)。每一个项目历时三到六个月，最后完成中层销售管理层的组织架构调整，以支持中国区的业务转型和业务双位数的业绩增长。历时五年分别为一欧洲和一美国公司建立亚太区的招聘中心团队，完成招聘模式由(被动式接单)到(顾问式招聘)的业务转型。期间历经全球招聘系统TALEO实施上线实现数字化管理，亚太区HR全员招聘线上线下培训，招聘流程优化改造，候选人体验提升，中国区社交媒体微信招聘平台搭建，日本和韩国全国人才招聘电子刊物的建立，日本本地招聘渠道优化（BizRich引入），亚太区各国跨国合作候选人搜寻机制建立等。</w:t>
      </w:r>
    </w:p>
    <w:p w14:paraId="655AF00A">
      <w:pPr>
        <w:spacing w:line="360" w:lineRule="auto"/>
        <w:ind w:left="210" w:leftChars="100" w:right="210" w:rightChars="100"/>
        <w:rPr>
          <w:rFonts w:ascii="华文宋体" w:hAnsi="华文宋体" w:eastAsia="华文宋体" w:cs="+mn-cs"/>
          <w:color w:val="595959"/>
          <w:kern w:val="24"/>
          <w:sz w:val="24"/>
        </w:rPr>
      </w:pPr>
      <w:bookmarkStart w:id="1" w:name="_GoBack"/>
      <w:bookmarkEnd w:id="1"/>
    </w:p>
    <w:sectPr>
      <w:headerReference r:id="rId3" w:type="default"/>
      <w:footerReference r:id="rId4" w:type="default"/>
      <w:pgSz w:w="11900" w:h="16840"/>
      <w:pgMar w:top="720" w:right="720" w:bottom="720" w:left="72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mn-cs">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A155D">
    <w:pPr>
      <w:pStyle w:val="2"/>
      <w:rPr>
        <w:rFonts w:hint="eastAsia" w:ascii="微软雅黑" w:hAnsi="微软雅黑" w:eastAsia="微软雅黑" w:cs="微软雅黑"/>
        <w:b/>
        <w:bCs/>
        <w:color w:val="F85208"/>
        <w:sz w:val="22"/>
        <w:szCs w:val="22"/>
        <w:lang w:val="en-US" w:eastAsia="zh-CN"/>
      </w:rPr>
    </w:pPr>
    <w:r>
      <w:rPr>
        <w:rFonts w:hint="eastAsia"/>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98C08">
    <w:pPr>
      <w:pStyle w:val="3"/>
      <w:jc w:val="both"/>
    </w:pPr>
    <w:r>
      <w:rPr>
        <w:rFonts w:hint="eastAsia"/>
        <w:lang w:val="en-US" w:eastAsia="zh-CN"/>
      </w:rPr>
      <w:t xml:space="preserve">      </w:t>
    </w:r>
    <w:r>
      <w:t xml:space="preserve">  </w:t>
    </w:r>
    <w:r>
      <w:rPr>
        <w:rFonts w:hint="eastAsia"/>
      </w:rPr>
      <w:t xml:space="preserve"> </w:t>
    </w:r>
    <w:r>
      <w:t xml:space="preserve">                   </w:t>
    </w:r>
    <w:r>
      <w:rPr>
        <w:rFonts w:hint="eastAsia"/>
        <w:lang w:val="en-US" w:eastAsia="zh-CN"/>
      </w:rPr>
      <w:t xml:space="preserve">         </w:t>
    </w:r>
    <w:r>
      <w:rPr>
        <w:b/>
        <w:bCs/>
        <w:color w:val="C55A11" w:themeColor="accent2" w:themeShade="BF"/>
      </w:rPr>
      <w:t xml:space="preserve">                                  </w:t>
    </w:r>
    <w:r>
      <w:rPr>
        <w:rFonts w:ascii="微软雅黑" w:hAnsi="微软雅黑" w:eastAsia="微软雅黑"/>
        <w:b/>
        <w:bCs/>
        <w:color w:val="C55A11" w:themeColor="accent2" w:themeShade="BF"/>
        <w:sz w:val="24"/>
        <w:szCs w:val="24"/>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95EBB"/>
    <w:multiLevelType w:val="singleLevel"/>
    <w:tmpl w:val="8A595EBB"/>
    <w:lvl w:ilvl="0" w:tentative="0">
      <w:start w:val="1"/>
      <w:numFmt w:val="decimal"/>
      <w:lvlText w:val="%1."/>
      <w:lvlJc w:val="left"/>
      <w:pPr>
        <w:ind w:left="425" w:hanging="425"/>
      </w:pPr>
      <w:rPr>
        <w:rFonts w:hint="default"/>
      </w:rPr>
    </w:lvl>
  </w:abstractNum>
  <w:abstractNum w:abstractNumId="1">
    <w:nsid w:val="8DEA1A62"/>
    <w:multiLevelType w:val="multilevel"/>
    <w:tmpl w:val="8DEA1A62"/>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2">
    <w:nsid w:val="90A06DBA"/>
    <w:multiLevelType w:val="multilevel"/>
    <w:tmpl w:val="90A06DBA"/>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3">
    <w:nsid w:val="96EDE4C6"/>
    <w:multiLevelType w:val="multilevel"/>
    <w:tmpl w:val="96EDE4C6"/>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4">
    <w:nsid w:val="B38D43CC"/>
    <w:multiLevelType w:val="singleLevel"/>
    <w:tmpl w:val="B38D43CC"/>
    <w:lvl w:ilvl="0" w:tentative="0">
      <w:start w:val="1"/>
      <w:numFmt w:val="decimal"/>
      <w:lvlText w:val="%1."/>
      <w:lvlJc w:val="left"/>
      <w:pPr>
        <w:ind w:left="425" w:hanging="425"/>
      </w:pPr>
      <w:rPr>
        <w:rFonts w:hint="default"/>
      </w:rPr>
    </w:lvl>
  </w:abstractNum>
  <w:abstractNum w:abstractNumId="5">
    <w:nsid w:val="B6D36D97"/>
    <w:multiLevelType w:val="singleLevel"/>
    <w:tmpl w:val="B6D36D97"/>
    <w:lvl w:ilvl="0" w:tentative="0">
      <w:start w:val="1"/>
      <w:numFmt w:val="decimal"/>
      <w:lvlText w:val="%1."/>
      <w:lvlJc w:val="left"/>
      <w:pPr>
        <w:ind w:left="425" w:hanging="425"/>
      </w:pPr>
      <w:rPr>
        <w:rFonts w:hint="default"/>
      </w:rPr>
    </w:lvl>
  </w:abstractNum>
  <w:abstractNum w:abstractNumId="6">
    <w:nsid w:val="CB9E5A8C"/>
    <w:multiLevelType w:val="multilevel"/>
    <w:tmpl w:val="CB9E5A8C"/>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7">
    <w:nsid w:val="D78EDC48"/>
    <w:multiLevelType w:val="singleLevel"/>
    <w:tmpl w:val="D78EDC48"/>
    <w:lvl w:ilvl="0" w:tentative="0">
      <w:start w:val="1"/>
      <w:numFmt w:val="decimal"/>
      <w:lvlText w:val="%1."/>
      <w:lvlJc w:val="left"/>
      <w:pPr>
        <w:ind w:left="425" w:hanging="425"/>
      </w:pPr>
      <w:rPr>
        <w:rFonts w:hint="default"/>
      </w:rPr>
    </w:lvl>
  </w:abstractNum>
  <w:abstractNum w:abstractNumId="8">
    <w:nsid w:val="D84DE615"/>
    <w:multiLevelType w:val="multilevel"/>
    <w:tmpl w:val="D84DE615"/>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9">
    <w:nsid w:val="E071A400"/>
    <w:multiLevelType w:val="multilevel"/>
    <w:tmpl w:val="E071A400"/>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10">
    <w:nsid w:val="EB28E71E"/>
    <w:multiLevelType w:val="multilevel"/>
    <w:tmpl w:val="EB28E71E"/>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11">
    <w:nsid w:val="F29126BA"/>
    <w:multiLevelType w:val="singleLevel"/>
    <w:tmpl w:val="F29126BA"/>
    <w:lvl w:ilvl="0" w:tentative="0">
      <w:start w:val="1"/>
      <w:numFmt w:val="decimal"/>
      <w:lvlText w:val="%1."/>
      <w:lvlJc w:val="left"/>
      <w:pPr>
        <w:ind w:left="425" w:hanging="425"/>
      </w:pPr>
      <w:rPr>
        <w:rFonts w:hint="default"/>
      </w:rPr>
    </w:lvl>
  </w:abstractNum>
  <w:abstractNum w:abstractNumId="12">
    <w:nsid w:val="04FC6190"/>
    <w:multiLevelType w:val="multilevel"/>
    <w:tmpl w:val="04FC6190"/>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13">
    <w:nsid w:val="11CD01C0"/>
    <w:multiLevelType w:val="multilevel"/>
    <w:tmpl w:val="11CD01C0"/>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14">
    <w:nsid w:val="1F9E8487"/>
    <w:multiLevelType w:val="multilevel"/>
    <w:tmpl w:val="1F9E8487"/>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15">
    <w:nsid w:val="37C2BED0"/>
    <w:multiLevelType w:val="multilevel"/>
    <w:tmpl w:val="37C2BED0"/>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16">
    <w:nsid w:val="3E8B23D2"/>
    <w:multiLevelType w:val="multilevel"/>
    <w:tmpl w:val="3E8B23D2"/>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17">
    <w:nsid w:val="45AA9ADC"/>
    <w:multiLevelType w:val="multilevel"/>
    <w:tmpl w:val="45AA9ADC"/>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18">
    <w:nsid w:val="4F23AC0C"/>
    <w:multiLevelType w:val="multilevel"/>
    <w:tmpl w:val="4F23AC0C"/>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19">
    <w:nsid w:val="59928F76"/>
    <w:multiLevelType w:val="multilevel"/>
    <w:tmpl w:val="59928F76"/>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20">
    <w:nsid w:val="6427FE76"/>
    <w:multiLevelType w:val="multilevel"/>
    <w:tmpl w:val="6427FE76"/>
    <w:lvl w:ilvl="0" w:tentative="0">
      <w:start w:val="1"/>
      <w:numFmt w:val="decimal"/>
      <w:lvlText w:val="%1)"/>
      <w:lvlJc w:val="left"/>
      <w:pPr>
        <w:ind w:left="1070" w:hanging="440"/>
      </w:p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21">
    <w:nsid w:val="696FF7DC"/>
    <w:multiLevelType w:val="singleLevel"/>
    <w:tmpl w:val="696FF7DC"/>
    <w:lvl w:ilvl="0" w:tentative="0">
      <w:start w:val="1"/>
      <w:numFmt w:val="decimal"/>
      <w:lvlText w:val="%1."/>
      <w:lvlJc w:val="left"/>
      <w:pPr>
        <w:ind w:left="425" w:hanging="425"/>
      </w:pPr>
      <w:rPr>
        <w:rFonts w:hint="default"/>
      </w:rPr>
    </w:lvl>
  </w:abstractNum>
  <w:abstractNum w:abstractNumId="22">
    <w:nsid w:val="6F6E74D8"/>
    <w:multiLevelType w:val="singleLevel"/>
    <w:tmpl w:val="6F6E74D8"/>
    <w:lvl w:ilvl="0" w:tentative="0">
      <w:start w:val="1"/>
      <w:numFmt w:val="decimal"/>
      <w:lvlText w:val="%1."/>
      <w:lvlJc w:val="left"/>
      <w:pPr>
        <w:ind w:left="425" w:hanging="425"/>
      </w:pPr>
      <w:rPr>
        <w:rFonts w:hint="default"/>
      </w:rPr>
    </w:lvl>
  </w:abstractNum>
  <w:num w:numId="1">
    <w:abstractNumId w:val="7"/>
  </w:num>
  <w:num w:numId="2">
    <w:abstractNumId w:val="22"/>
  </w:num>
  <w:num w:numId="3">
    <w:abstractNumId w:val="0"/>
  </w:num>
  <w:num w:numId="4">
    <w:abstractNumId w:val="21"/>
  </w:num>
  <w:num w:numId="5">
    <w:abstractNumId w:val="16"/>
  </w:num>
  <w:num w:numId="6">
    <w:abstractNumId w:val="20"/>
  </w:num>
  <w:num w:numId="7">
    <w:abstractNumId w:val="6"/>
  </w:num>
  <w:num w:numId="8">
    <w:abstractNumId w:val="18"/>
  </w:num>
  <w:num w:numId="9">
    <w:abstractNumId w:val="11"/>
  </w:num>
  <w:num w:numId="10">
    <w:abstractNumId w:val="13"/>
  </w:num>
  <w:num w:numId="11">
    <w:abstractNumId w:val="9"/>
  </w:num>
  <w:num w:numId="12">
    <w:abstractNumId w:val="14"/>
  </w:num>
  <w:num w:numId="13">
    <w:abstractNumId w:val="5"/>
  </w:num>
  <w:num w:numId="14">
    <w:abstractNumId w:val="3"/>
  </w:num>
  <w:num w:numId="15">
    <w:abstractNumId w:val="8"/>
  </w:num>
  <w:num w:numId="16">
    <w:abstractNumId w:val="2"/>
  </w:num>
  <w:num w:numId="17">
    <w:abstractNumId w:val="19"/>
  </w:num>
  <w:num w:numId="18">
    <w:abstractNumId w:val="4"/>
  </w:num>
  <w:num w:numId="19">
    <w:abstractNumId w:val="15"/>
  </w:num>
  <w:num w:numId="20">
    <w:abstractNumId w:val="17"/>
  </w:num>
  <w:num w:numId="21">
    <w:abstractNumId w:val="12"/>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mZjM0NmUwMWNiMjJhYzcwOGY0NDIyMjE5NTNhNmUifQ=="/>
  </w:docVars>
  <w:rsids>
    <w:rsidRoot w:val="003F7E97"/>
    <w:rsid w:val="00013AF2"/>
    <w:rsid w:val="0002124C"/>
    <w:rsid w:val="00022105"/>
    <w:rsid w:val="00037E23"/>
    <w:rsid w:val="00040470"/>
    <w:rsid w:val="00047C72"/>
    <w:rsid w:val="000804DF"/>
    <w:rsid w:val="000C7994"/>
    <w:rsid w:val="000D30EC"/>
    <w:rsid w:val="000D6656"/>
    <w:rsid w:val="001018E9"/>
    <w:rsid w:val="001331A8"/>
    <w:rsid w:val="00136BDA"/>
    <w:rsid w:val="00190CD5"/>
    <w:rsid w:val="00201732"/>
    <w:rsid w:val="00217347"/>
    <w:rsid w:val="00261051"/>
    <w:rsid w:val="002A4E7F"/>
    <w:rsid w:val="002F63A4"/>
    <w:rsid w:val="00325362"/>
    <w:rsid w:val="0033679B"/>
    <w:rsid w:val="003403F3"/>
    <w:rsid w:val="003660D3"/>
    <w:rsid w:val="003715E9"/>
    <w:rsid w:val="00380B34"/>
    <w:rsid w:val="00383AEB"/>
    <w:rsid w:val="00387258"/>
    <w:rsid w:val="0038750F"/>
    <w:rsid w:val="0039127A"/>
    <w:rsid w:val="003D7BA3"/>
    <w:rsid w:val="003F15F8"/>
    <w:rsid w:val="003F7E97"/>
    <w:rsid w:val="00447CCC"/>
    <w:rsid w:val="004A0BB9"/>
    <w:rsid w:val="004A5D67"/>
    <w:rsid w:val="004A6BF3"/>
    <w:rsid w:val="004A7483"/>
    <w:rsid w:val="004C6FE9"/>
    <w:rsid w:val="00500360"/>
    <w:rsid w:val="005170FD"/>
    <w:rsid w:val="00530A6C"/>
    <w:rsid w:val="005428B5"/>
    <w:rsid w:val="0055054D"/>
    <w:rsid w:val="00554CA0"/>
    <w:rsid w:val="00562F40"/>
    <w:rsid w:val="00577DF4"/>
    <w:rsid w:val="005B074A"/>
    <w:rsid w:val="005C4387"/>
    <w:rsid w:val="005C4DD5"/>
    <w:rsid w:val="005E3F15"/>
    <w:rsid w:val="005E6BCE"/>
    <w:rsid w:val="006110D9"/>
    <w:rsid w:val="00621658"/>
    <w:rsid w:val="00641C6C"/>
    <w:rsid w:val="0065551B"/>
    <w:rsid w:val="00692C39"/>
    <w:rsid w:val="006A6AEA"/>
    <w:rsid w:val="006B7C37"/>
    <w:rsid w:val="006D2BA6"/>
    <w:rsid w:val="0071329A"/>
    <w:rsid w:val="00721570"/>
    <w:rsid w:val="0073361A"/>
    <w:rsid w:val="00745039"/>
    <w:rsid w:val="0075233E"/>
    <w:rsid w:val="007D3F78"/>
    <w:rsid w:val="00816D0C"/>
    <w:rsid w:val="00845458"/>
    <w:rsid w:val="00847A47"/>
    <w:rsid w:val="00850352"/>
    <w:rsid w:val="0085367E"/>
    <w:rsid w:val="008549A5"/>
    <w:rsid w:val="00861414"/>
    <w:rsid w:val="0087170E"/>
    <w:rsid w:val="008F7E2F"/>
    <w:rsid w:val="009010F9"/>
    <w:rsid w:val="00916AFF"/>
    <w:rsid w:val="009A00A5"/>
    <w:rsid w:val="009C68E5"/>
    <w:rsid w:val="00A0582E"/>
    <w:rsid w:val="00A05A79"/>
    <w:rsid w:val="00A1778C"/>
    <w:rsid w:val="00A318AA"/>
    <w:rsid w:val="00A527E2"/>
    <w:rsid w:val="00A54154"/>
    <w:rsid w:val="00A8143F"/>
    <w:rsid w:val="00AB04FC"/>
    <w:rsid w:val="00AE3BCE"/>
    <w:rsid w:val="00B12CB6"/>
    <w:rsid w:val="00B25456"/>
    <w:rsid w:val="00B3109A"/>
    <w:rsid w:val="00B5453E"/>
    <w:rsid w:val="00B826DE"/>
    <w:rsid w:val="00BA603D"/>
    <w:rsid w:val="00BD1E78"/>
    <w:rsid w:val="00BD3991"/>
    <w:rsid w:val="00C029AD"/>
    <w:rsid w:val="00C15F6D"/>
    <w:rsid w:val="00C222AA"/>
    <w:rsid w:val="00C327FC"/>
    <w:rsid w:val="00C34806"/>
    <w:rsid w:val="00C8697F"/>
    <w:rsid w:val="00C968A9"/>
    <w:rsid w:val="00CA29C2"/>
    <w:rsid w:val="00CA33DA"/>
    <w:rsid w:val="00CC15BC"/>
    <w:rsid w:val="00CC7147"/>
    <w:rsid w:val="00CD4C88"/>
    <w:rsid w:val="00D32ACB"/>
    <w:rsid w:val="00D34F15"/>
    <w:rsid w:val="00D5004F"/>
    <w:rsid w:val="00D52136"/>
    <w:rsid w:val="00D55EDD"/>
    <w:rsid w:val="00D611AE"/>
    <w:rsid w:val="00D92993"/>
    <w:rsid w:val="00DC2BF7"/>
    <w:rsid w:val="00DC5067"/>
    <w:rsid w:val="00DD108B"/>
    <w:rsid w:val="00DD428E"/>
    <w:rsid w:val="00DE1061"/>
    <w:rsid w:val="00DF4601"/>
    <w:rsid w:val="00E12D00"/>
    <w:rsid w:val="00E267FF"/>
    <w:rsid w:val="00E456A3"/>
    <w:rsid w:val="00E477D1"/>
    <w:rsid w:val="00EA7BD6"/>
    <w:rsid w:val="00EC4E71"/>
    <w:rsid w:val="00F12F90"/>
    <w:rsid w:val="00F368E7"/>
    <w:rsid w:val="00F37E05"/>
    <w:rsid w:val="00F55575"/>
    <w:rsid w:val="00F63FB3"/>
    <w:rsid w:val="00FA5644"/>
    <w:rsid w:val="00FB466F"/>
    <w:rsid w:val="00FC1521"/>
    <w:rsid w:val="00FE16AD"/>
    <w:rsid w:val="038A635A"/>
    <w:rsid w:val="066E1317"/>
    <w:rsid w:val="07EF6417"/>
    <w:rsid w:val="089C4C32"/>
    <w:rsid w:val="118C408C"/>
    <w:rsid w:val="12CD798C"/>
    <w:rsid w:val="1E562965"/>
    <w:rsid w:val="1ECA5C5B"/>
    <w:rsid w:val="209C67F3"/>
    <w:rsid w:val="21C9608C"/>
    <w:rsid w:val="22635F7B"/>
    <w:rsid w:val="256E4A38"/>
    <w:rsid w:val="25C7622F"/>
    <w:rsid w:val="2FDB6516"/>
    <w:rsid w:val="31FB1D8B"/>
    <w:rsid w:val="33FF5B26"/>
    <w:rsid w:val="35FE472A"/>
    <w:rsid w:val="36D14E04"/>
    <w:rsid w:val="37D44BCF"/>
    <w:rsid w:val="3BF90611"/>
    <w:rsid w:val="3C8C1E8C"/>
    <w:rsid w:val="3F676A3C"/>
    <w:rsid w:val="3F744EE9"/>
    <w:rsid w:val="43DD4E0B"/>
    <w:rsid w:val="45392C08"/>
    <w:rsid w:val="4D366BEA"/>
    <w:rsid w:val="4F99306F"/>
    <w:rsid w:val="518014CC"/>
    <w:rsid w:val="527222A6"/>
    <w:rsid w:val="52AA4A52"/>
    <w:rsid w:val="55DF4A13"/>
    <w:rsid w:val="583F5D4F"/>
    <w:rsid w:val="589A119B"/>
    <w:rsid w:val="596204F8"/>
    <w:rsid w:val="5CF4484D"/>
    <w:rsid w:val="5E392678"/>
    <w:rsid w:val="5F932A53"/>
    <w:rsid w:val="603D6F06"/>
    <w:rsid w:val="626F711E"/>
    <w:rsid w:val="65801643"/>
    <w:rsid w:val="6A7C7989"/>
    <w:rsid w:val="6BB9765C"/>
    <w:rsid w:val="6BC83662"/>
    <w:rsid w:val="6CCD1611"/>
    <w:rsid w:val="70F84783"/>
    <w:rsid w:val="74B15FD4"/>
    <w:rsid w:val="74E716A5"/>
    <w:rsid w:val="7AE40E59"/>
    <w:rsid w:val="7B0E09A2"/>
    <w:rsid w:val="7B377632"/>
    <w:rsid w:val="7BD32074"/>
    <w:rsid w:val="7C045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Strong"/>
    <w:qFormat/>
    <w:uiPriority w:val="99"/>
    <w:rPr>
      <w:rFonts w:cs="Times New Roman"/>
      <w:b/>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kern w:val="2"/>
      <w:sz w:val="18"/>
      <w:szCs w:val="18"/>
    </w:rPr>
  </w:style>
  <w:style w:type="character" w:customStyle="1" w:styleId="10">
    <w:name w:val="页脚 字符"/>
    <w:basedOn w:val="6"/>
    <w:link w:val="2"/>
    <w:qFormat/>
    <w:uiPriority w:val="99"/>
    <w:rPr>
      <w:kern w:val="2"/>
      <w:sz w:val="18"/>
      <w:szCs w:val="18"/>
    </w:rPr>
  </w:style>
  <w:style w:type="paragraph" w:customStyle="1" w:styleId="11">
    <w:name w:val="列出段落11"/>
    <w:basedOn w:val="1"/>
    <w:qFormat/>
    <w:uiPriority w:val="99"/>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3D2251-BE32-46CE-982F-FD27EF5F2C3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1845</Words>
  <Characters>1896</Characters>
  <Lines>26</Lines>
  <Paragraphs>7</Paragraphs>
  <TotalTime>3</TotalTime>
  <ScaleCrop>false</ScaleCrop>
  <LinksUpToDate>false</LinksUpToDate>
  <CharactersWithSpaces>1905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2019-03-18T08:48:00Z</dcterms:created>
  <dc:creator>Microsoft Office User</dc:creator>
  <cp:lastModifiedBy>Yan</cp:lastModifiedBy>
  <dcterms:modified xsi:type="dcterms:W3CDTF">2025-08-06T06:46:23Z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A537675AA955450683E0E04416B86A10_13</vt:lpwstr>
  </property>
  <property fmtid="{D5CDD505-2E9C-101B-9397-08002B2CF9AE}" pid="4" name="KSOTemplateDocerSaveRecord">
    <vt:lpwstr>eyJoZGlkIjoiYjgwMTUwZjk3YjY4NWY1ZGM3ZWRiNjcyZTMwMmI2NzgiLCJ1c2VySWQiOiIxMDgxNjIyNjk3In0=</vt:lpwstr>
  </property>
</Properties>
</file>