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85E4">
      <w:pPr>
        <w:snapToGrid w:val="0"/>
        <w:rPr>
          <w:rFonts w:hint="eastAsia" w:ascii="微软雅黑" w:hAnsi="微软雅黑" w:eastAsia="微软雅黑"/>
          <w:sz w:val="20"/>
          <w:szCs w:val="20"/>
        </w:rPr>
      </w:pPr>
      <w:bookmarkStart w:id="1" w:name="_GoBack"/>
      <w:bookmarkEnd w:id="1"/>
      <w:bookmarkStart w:id="0" w:name="_Hlk91793999"/>
      <w:bookmarkEnd w:id="0"/>
    </w:p>
    <w:p w14:paraId="11552393">
      <w:pPr>
        <w:snapToGrid w:val="0"/>
        <w:jc w:val="center"/>
        <w:rPr>
          <w:rFonts w:hint="eastAsia" w:ascii="微软雅黑" w:hAnsi="微软雅黑" w:eastAsia="微软雅黑" w:cs="Times New Roman"/>
          <w:color w:val="404040" w:themeColor="text1" w:themeTint="BF"/>
          <w:sz w:val="44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404040" w:themeColor="text1" w:themeTint="BF"/>
          <w:sz w:val="44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薪酬绩效体系设计驱动企业与人才共赢</w:t>
      </w:r>
      <w:r>
        <w:rPr>
          <w:rFonts w:hint="eastAsia" w:ascii="微软雅黑" w:hAnsi="微软雅黑" w:eastAsia="微软雅黑" w:cs="Times New Roman"/>
          <w:color w:val="404040" w:themeColor="text1" w:themeTint="BF"/>
          <w:sz w:val="44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</w:p>
    <w:p w14:paraId="4E602ADA">
      <w:pPr>
        <w:snapToGrid w:val="0"/>
        <w:jc w:val="center"/>
        <w:rPr>
          <w:rFonts w:ascii="Arial" w:hAnsi="Arial" w:cs="Arial"/>
          <w:color w:val="D6D6D6"/>
          <w:sz w:val="24"/>
          <w:szCs w:val="24"/>
        </w:rPr>
      </w:pPr>
      <w:r>
        <w:rPr>
          <w:rFonts w:hint="eastAsia" w:ascii="Arial" w:hAnsi="Arial" w:cs="Arial"/>
          <w:color w:val="D6D6D6"/>
          <w:sz w:val="24"/>
          <w:szCs w:val="24"/>
        </w:rPr>
        <w:t>The Design Of Compensation &amp; Performance System Drives A Win-Win Situation For Enterprise And Talents</w:t>
      </w:r>
    </w:p>
    <w:p w14:paraId="588E0297">
      <w:pPr>
        <w:snapToGrid w:val="0"/>
        <w:rPr>
          <w:rFonts w:hint="eastAsia" w:ascii="微软雅黑" w:hAnsi="微软雅黑" w:eastAsia="微软雅黑"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434"/>
        <w:gridCol w:w="2434"/>
        <w:gridCol w:w="2434"/>
      </w:tblGrid>
      <w:tr w14:paraId="551B57B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34" w:type="dxa"/>
            <w:shd w:val="clear" w:color="auto" w:fill="2E74B5"/>
            <w:vAlign w:val="center"/>
          </w:tcPr>
          <w:p w14:paraId="60CD66AE">
            <w:pPr>
              <w:snapToGrid w:val="0"/>
              <w:ind w:left="210" w:leftChars="100"/>
              <w:jc w:val="left"/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日期</w:t>
            </w:r>
            <w:r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7302" w:type="dxa"/>
            <w:gridSpan w:val="3"/>
            <w:vAlign w:val="center"/>
          </w:tcPr>
          <w:p w14:paraId="77885E72">
            <w:pPr>
              <w:snapToGrid w:val="0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2025年11月28日-29日  上海</w:t>
            </w:r>
          </w:p>
        </w:tc>
      </w:tr>
      <w:tr w14:paraId="2939A48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34" w:type="dxa"/>
            <w:shd w:val="clear" w:color="auto" w:fill="2E74B5"/>
            <w:vAlign w:val="center"/>
          </w:tcPr>
          <w:p w14:paraId="441BF1BF">
            <w:pPr>
              <w:snapToGrid w:val="0"/>
              <w:ind w:left="210" w:leftChars="100"/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讲师</w:t>
            </w:r>
            <w:r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/Lecturer</w:t>
            </w:r>
          </w:p>
        </w:tc>
        <w:tc>
          <w:tcPr>
            <w:tcW w:w="2434" w:type="dxa"/>
            <w:vAlign w:val="center"/>
          </w:tcPr>
          <w:p w14:paraId="542FFD44">
            <w:pPr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任老师</w:t>
            </w:r>
          </w:p>
        </w:tc>
        <w:tc>
          <w:tcPr>
            <w:tcW w:w="2434" w:type="dxa"/>
            <w:shd w:val="clear" w:color="auto" w:fill="2E74B5"/>
            <w:vAlign w:val="center"/>
          </w:tcPr>
          <w:p w14:paraId="4C39C37D">
            <w:pPr>
              <w:snapToGrid w:val="0"/>
              <w:ind w:left="210" w:leftChars="100"/>
              <w:jc w:val="left"/>
              <w:rPr>
                <w:rFonts w:hint="eastAsia" w:ascii="微软雅黑" w:hAnsi="微软雅黑" w:eastAsia="微软雅黑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费用</w:t>
            </w:r>
            <w:r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/Price</w:t>
            </w:r>
          </w:p>
        </w:tc>
        <w:tc>
          <w:tcPr>
            <w:tcW w:w="2434" w:type="dxa"/>
            <w:vAlign w:val="center"/>
          </w:tcPr>
          <w:p w14:paraId="6BF2E22F">
            <w:pPr>
              <w:snapToGrid w:val="0"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¥4980元</w:t>
            </w:r>
            <w:r>
              <w:rPr>
                <w:rFonts w:ascii="微软雅黑" w:hAnsi="微软雅黑" w:eastAsia="微软雅黑" w:cs="宋体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宋体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人</w:t>
            </w:r>
          </w:p>
        </w:tc>
      </w:tr>
    </w:tbl>
    <w:p w14:paraId="495C8D4E">
      <w:pPr>
        <w:spacing w:before="156" w:beforeLines="50"/>
        <w:rPr>
          <w:rFonts w:hint="eastAsia" w:ascii="楷体" w:hAnsi="楷体" w:eastAsia="楷体" w:cs="微软雅黑"/>
          <w:bCs/>
          <w:color w:val="C00000"/>
          <w:sz w:val="20"/>
          <w:szCs w:val="20"/>
        </w:rPr>
      </w:pPr>
      <w:r>
        <w:rPr>
          <w:rFonts w:hint="eastAsia" w:ascii="楷体" w:hAnsi="楷体" w:eastAsia="楷体" w:cs="微软雅黑"/>
          <w:bCs/>
          <w:color w:val="C00000"/>
          <w:sz w:val="20"/>
          <w:szCs w:val="20"/>
        </w:rPr>
        <w:t>（* 说明: 本课程大纲仅针对上述排期，其他排期的课纲请另行下载后查看。）</w:t>
      </w:r>
    </w:p>
    <w:p w14:paraId="31118C43">
      <w:pPr>
        <w:snapToGrid w:val="0"/>
        <w:rPr>
          <w:rFonts w:hint="eastAsia" w:ascii="微软雅黑" w:hAnsi="微软雅黑" w:eastAsia="微软雅黑"/>
          <w:sz w:val="20"/>
          <w:szCs w:val="20"/>
        </w:rPr>
      </w:pPr>
    </w:p>
    <w:p w14:paraId="0DEDFFBD">
      <w:pPr>
        <w:snapToGrid w:val="0"/>
        <w:spacing w:line="288" w:lineRule="auto"/>
        <w:rPr>
          <w:rFonts w:hint="eastAsia" w:ascii="微软雅黑" w:hAnsi="微软雅黑" w:eastAsia="微软雅黑" w:cs="微软雅黑"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7F764DE">
      <w:pPr>
        <w:snapToGrid w:val="0"/>
        <w:rPr>
          <w:rFonts w:hint="eastAsia" w:ascii="微软雅黑" w:hAnsi="微软雅黑" w:eastAsia="微软雅黑" w:cs="微软雅黑"/>
          <w:color w:val="2E74B5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2E74B5"/>
          <w:kern w:val="0"/>
          <w:sz w:val="26"/>
          <w:szCs w:val="26"/>
        </w:rPr>
        <w:t>全部排期/</w:t>
      </w:r>
      <w:r>
        <w:rPr>
          <w:rFonts w:ascii="微软雅黑" w:hAnsi="微软雅黑" w:eastAsia="微软雅黑" w:cs="宋体"/>
          <w:b/>
          <w:bCs/>
          <w:color w:val="2E74B5"/>
          <w:kern w:val="0"/>
          <w:sz w:val="26"/>
          <w:szCs w:val="26"/>
        </w:rPr>
        <w:t>Scheduling</w:t>
      </w:r>
    </w:p>
    <w:p w14:paraId="74785F6D">
      <w:pPr>
        <w:rPr>
          <w:rFonts w:hint="eastAsia" w:ascii="微软雅黑" w:hAnsi="微软雅黑" w:eastAsia="微软雅黑" w:cs="微软雅黑"/>
          <w:bCs/>
          <w:color w:val="000000"/>
          <w:sz w:val="20"/>
        </w:rPr>
      </w:pPr>
      <w:r>
        <w:rPr>
          <w:rFonts w:hint="eastAsia" w:ascii="微软雅黑" w:hAnsi="微软雅黑" w:eastAsia="微软雅黑" w:cs="微软雅黑"/>
          <w:bCs/>
          <w:color w:val="000000"/>
          <w:sz w:val="20"/>
        </w:rPr>
        <w:t xml:space="preserve">上海：2025年11月28日-29日（任老师）       </w:t>
      </w:r>
    </w:p>
    <w:p w14:paraId="18DC9EFC">
      <w:pPr>
        <w:rPr>
          <w:rFonts w:hint="eastAsia" w:ascii="楷体" w:hAnsi="楷体" w:eastAsia="楷体" w:cs="微软雅黑"/>
          <w:bCs/>
          <w:color w:val="C00000"/>
          <w:sz w:val="20"/>
          <w:szCs w:val="20"/>
        </w:rPr>
      </w:pPr>
      <w:r>
        <w:rPr>
          <w:rFonts w:hint="eastAsia" w:ascii="楷体" w:hAnsi="楷体" w:eastAsia="楷体" w:cs="微软雅黑"/>
          <w:bCs/>
          <w:color w:val="C00000"/>
          <w:sz w:val="20"/>
          <w:szCs w:val="20"/>
        </w:rPr>
        <w:t>（* 特别提醒：不同城市不同场次的授课讲师及大纲可能有差异，具体请务必参照对应场次的课程大纲内容。）</w:t>
      </w:r>
    </w:p>
    <w:p w14:paraId="45327712">
      <w:pPr>
        <w:rPr>
          <w:rFonts w:hint="eastAsia"/>
        </w:rPr>
      </w:pPr>
    </w:p>
    <w:p w14:paraId="01038837"/>
    <w:p w14:paraId="2B90C204">
      <w:r>
        <w:rPr>
          <w:rFonts w:ascii="微软雅黑" w:hAnsi="微软雅黑" w:eastAsia="微软雅黑" w:cs="微软雅黑"/>
          <w:b/>
          <w:color w:val="2E74B5"/>
          <w:sz w:val="26"/>
        </w:rPr>
        <w:t>课程概述/Overview</w:t>
      </w:r>
    </w:p>
    <w:p w14:paraId="1CE46EEC">
      <w:r>
        <w:rPr>
          <w:rFonts w:ascii="微软雅黑" w:hAnsi="微软雅黑" w:eastAsia="微软雅黑" w:cs="微软雅黑"/>
          <w:sz w:val="20"/>
        </w:rPr>
        <w:t>为什么要学习该课程？</w:t>
      </w:r>
    </w:p>
    <w:p w14:paraId="7660162E">
      <w:r>
        <w:rPr>
          <w:rFonts w:ascii="微软雅黑" w:hAnsi="微软雅黑" w:eastAsia="微软雅黑" w:cs="微软雅黑"/>
          <w:sz w:val="20"/>
        </w:rPr>
        <w:t>当今激烈的市场竞争中，薪酬绩效体系不再是简单的人力资源管理工具，而是驱动企业战略落地、激发组织活力、吸引与保留核心人才的核心引擎。然而，许多企业面临以下痛点：</w:t>
      </w:r>
    </w:p>
    <w:p w14:paraId="0DE1618B">
      <w:r>
        <w:rPr>
          <w:rFonts w:ascii="微软雅黑" w:hAnsi="微软雅黑" w:eastAsia="微软雅黑" w:cs="微软雅黑"/>
          <w:sz w:val="20"/>
        </w:rPr>
        <w:t>·战略脱节：薪酬绩效体系与公司战略目标关联不强，无法有效引导员工行为。</w:t>
      </w:r>
    </w:p>
    <w:p w14:paraId="01DB7990">
      <w:r>
        <w:rPr>
          <w:rFonts w:ascii="微软雅黑" w:hAnsi="微软雅黑" w:eastAsia="微软雅黑" w:cs="微软雅黑"/>
          <w:sz w:val="20"/>
        </w:rPr>
        <w:t>·激励失效：固定薪酬比例过高，或绩效奖金沦为大锅饭，无法激励高绩效员工。</w:t>
      </w:r>
    </w:p>
    <w:p w14:paraId="128E3147">
      <w:r>
        <w:rPr>
          <w:rFonts w:ascii="微软雅黑" w:hAnsi="微软雅黑" w:eastAsia="微软雅黑" w:cs="微软雅黑"/>
          <w:sz w:val="20"/>
        </w:rPr>
        <w:t>·公平性质疑：内部公平性不足，员工抱怨干多干少一个样；外部竞争力不够，导致优秀人才流失。</w:t>
      </w:r>
    </w:p>
    <w:p w14:paraId="4F0F9DC1">
      <w:r>
        <w:rPr>
          <w:rFonts w:ascii="微软雅黑" w:hAnsi="微软雅黑" w:eastAsia="微软雅黑" w:cs="微软雅黑"/>
          <w:sz w:val="20"/>
        </w:rPr>
        <w:t>·管理复杂：体系设计复杂，管理者难以执行，员工难以理解，最终流于形式。</w:t>
      </w:r>
    </w:p>
    <w:p w14:paraId="5B025967">
      <w:r>
        <w:rPr>
          <w:rFonts w:ascii="微软雅黑" w:hAnsi="微软雅黑" w:eastAsia="微软雅黑" w:cs="微软雅黑"/>
          <w:sz w:val="20"/>
        </w:rPr>
        <w:t>本课程旨在系统性地解决这些问题，帮助企业构建一个战略导向、激励有效、内外公平、共赢发展的现代化薪酬绩效体系。</w:t>
      </w:r>
    </w:p>
    <w:p w14:paraId="3090E7B6">
      <w:r>
        <w:rPr>
          <w:rFonts w:ascii="微软雅黑" w:hAnsi="微软雅黑" w:eastAsia="微软雅黑" w:cs="微软雅黑"/>
          <w:b/>
          <w:color w:val="000000"/>
          <w:sz w:val="22"/>
        </w:rPr>
        <w:t>课程收获：</w:t>
      </w:r>
    </w:p>
    <w:p w14:paraId="53261F9D">
      <w:r>
        <w:rPr>
          <w:rFonts w:ascii="微软雅黑" w:hAnsi="微软雅黑" w:eastAsia="微软雅黑" w:cs="微软雅黑"/>
          <w:sz w:val="20"/>
        </w:rPr>
        <w:t>企业收益：</w:t>
      </w:r>
    </w:p>
    <w:p w14:paraId="30A54267">
      <w:r>
        <w:rPr>
          <w:rFonts w:ascii="微软雅黑" w:hAnsi="微软雅黑" w:eastAsia="微软雅黑" w:cs="微软雅黑"/>
          <w:sz w:val="20"/>
        </w:rPr>
        <w:t>1.战略落地：学会将薪酬绩效体系与公司战略紧密链接，确保员工行为与公司目标一致。</w:t>
      </w:r>
    </w:p>
    <w:p w14:paraId="52FC0D98">
      <w:r>
        <w:rPr>
          <w:rFonts w:ascii="微软雅黑" w:hAnsi="微软雅黑" w:eastAsia="微软雅黑" w:cs="微软雅黑"/>
          <w:sz w:val="20"/>
        </w:rPr>
        <w:t>2.提升人效：通过有效的激励杠杆，提升员工个人与组织整体的人均效能。</w:t>
      </w:r>
    </w:p>
    <w:p w14:paraId="32578C6A">
      <w:r>
        <w:rPr>
          <w:rFonts w:ascii="微软雅黑" w:hAnsi="微软雅黑" w:eastAsia="微软雅黑" w:cs="微软雅黑"/>
          <w:sz w:val="20"/>
        </w:rPr>
        <w:t>3.保留核心人才：建立有竞争力的薪酬架构，吸引、激励并保留关键人才，降低流失成本。</w:t>
      </w:r>
    </w:p>
    <w:p w14:paraId="0292219B">
      <w:r>
        <w:rPr>
          <w:rFonts w:ascii="微软雅黑" w:hAnsi="微软雅黑" w:eastAsia="微软雅黑" w:cs="微软雅黑"/>
          <w:sz w:val="20"/>
        </w:rPr>
        <w:t>4.塑造绩效文化：建立以贡献者为本、价值创造、价值评价、价值分配的良性绩效文化。</w:t>
      </w:r>
    </w:p>
    <w:p w14:paraId="4743D5A7">
      <w:r>
        <w:rPr>
          <w:rFonts w:ascii="微软雅黑" w:hAnsi="微软雅黑" w:eastAsia="微软雅黑" w:cs="微软雅黑"/>
          <w:sz w:val="20"/>
        </w:rPr>
        <w:t>岗位收益：</w:t>
      </w:r>
    </w:p>
    <w:p w14:paraId="6F0B2187">
      <w:r>
        <w:rPr>
          <w:rFonts w:ascii="微软雅黑" w:hAnsi="微软雅黑" w:eastAsia="微软雅黑" w:cs="微软雅黑"/>
          <w:sz w:val="20"/>
        </w:rPr>
        <w:t>1.掌握系统方法论：获得一套完整、可落地的薪酬绩效体系设计与优化的方法论和工具。</w:t>
      </w:r>
    </w:p>
    <w:p w14:paraId="1CC51876">
      <w:r>
        <w:rPr>
          <w:rFonts w:ascii="微软雅黑" w:hAnsi="微软雅黑" w:eastAsia="微软雅黑" w:cs="微软雅黑"/>
          <w:sz w:val="20"/>
        </w:rPr>
        <w:t>2.提升专业影响力：能从战略高度思考和设计薪酬绩效方案，提升专业价值。</w:t>
      </w:r>
    </w:p>
    <w:p w14:paraId="330B8F59">
      <w:r>
        <w:rPr>
          <w:rFonts w:ascii="微软雅黑" w:hAnsi="微软雅黑" w:eastAsia="微软雅黑" w:cs="微软雅黑"/>
          <w:sz w:val="20"/>
        </w:rPr>
        <w:t>3.解决实际难题：带着企业实际问题来，带着可行解决方案走，并能有效应对实施中的挑战。</w:t>
      </w:r>
    </w:p>
    <w:p w14:paraId="0587C513">
      <w:r>
        <w:rPr>
          <w:rFonts w:ascii="微软雅黑" w:hAnsi="微软雅黑" w:eastAsia="微软雅黑" w:cs="微软雅黑"/>
          <w:sz w:val="20"/>
        </w:rPr>
        <w:t>4.增强管理能力：学会如何利用薪酬绩效工具更有效地驱动团队，激发下属潜能。</w:t>
      </w:r>
    </w:p>
    <w:p w14:paraId="74A122E4">
      <w:r>
        <w:rPr>
          <w:rFonts w:ascii="微软雅黑" w:hAnsi="微软雅黑" w:eastAsia="微软雅黑" w:cs="微软雅黑"/>
          <w:b/>
          <w:color w:val="000000"/>
          <w:sz w:val="22"/>
        </w:rPr>
        <w:t>课程特色：</w:t>
      </w:r>
    </w:p>
    <w:p w14:paraId="1DD8090C">
      <w:r>
        <w:rPr>
          <w:rFonts w:ascii="微软雅黑" w:hAnsi="微软雅黑" w:eastAsia="微软雅黑" w:cs="微软雅黑"/>
          <w:sz w:val="20"/>
        </w:rPr>
        <w:t>1.实操导向：从懂理论到会方法，工具直接落地</w:t>
      </w:r>
    </w:p>
    <w:p w14:paraId="46594975">
      <w:r>
        <w:rPr>
          <w:rFonts w:ascii="微软雅黑" w:hAnsi="微软雅黑" w:eastAsia="微软雅黑" w:cs="微软雅黑"/>
          <w:sz w:val="20"/>
        </w:rPr>
        <w:t>课程全程贯穿“方法论+工具+案例+实战”四维设计，不仅讲解岗位价值评估、宽带薪酬设计等核心方法，更提供可直接复用的工具包。学员通过分组完成薪酬绩效落地实战任务，可将课堂成果直接转化为企业适配的初步方案，避免学完用不上的问题。</w:t>
      </w:r>
    </w:p>
    <w:p w14:paraId="05E9E457">
      <w:r>
        <w:rPr>
          <w:rFonts w:ascii="微软雅黑" w:hAnsi="微软雅黑" w:eastAsia="微软雅黑" w:cs="微软雅黑"/>
          <w:sz w:val="20"/>
        </w:rPr>
        <w:t>2.场景适配：分层覆盖行业与企业阶段，拒绝通用模板</w:t>
      </w:r>
    </w:p>
    <w:p w14:paraId="3AF09F45">
      <w:r>
        <w:rPr>
          <w:rFonts w:ascii="微软雅黑" w:hAnsi="微软雅黑" w:eastAsia="微软雅黑" w:cs="微软雅黑"/>
          <w:sz w:val="20"/>
        </w:rPr>
        <w:t>针对不同行业（互联网、制造、零售）、企业发展阶段（高增长期、转型期、成熟期）及岗位序列（销售、技术、职能）设计差异化内容。同时配套多行业名企案例（华为、海尔、阿里等），帮助不同背景学员找到贴合自身企业的参考路径。</w:t>
      </w:r>
    </w:p>
    <w:p w14:paraId="3246CD65">
      <w:r>
        <w:rPr>
          <w:rFonts w:ascii="微软雅黑" w:hAnsi="微软雅黑" w:eastAsia="微软雅黑" w:cs="微软雅黑"/>
          <w:sz w:val="20"/>
        </w:rPr>
        <w:t>3.双轮驱动：独创合作共赢模型</w:t>
      </w:r>
    </w:p>
    <w:p w14:paraId="14EDCB8F">
      <w:r>
        <w:rPr>
          <w:rFonts w:ascii="微软雅黑" w:hAnsi="微软雅黑" w:eastAsia="微软雅黑" w:cs="微软雅黑"/>
          <w:sz w:val="20"/>
        </w:rPr>
        <w:t>基于独创的共赢双轮驱动模型，系统性地阐述二者如何协同发力。通过此模型，学员将清晰掌握如何通过绩效设定价值标准，再通过薪酬实现价值分”，最终形成“创造价值→评价价值→分配价值”的战略闭环，驱动企业与人才同步成长。</w:t>
      </w:r>
    </w:p>
    <w:p w14:paraId="439AF534">
      <w:r>
        <w:rPr>
          <w:rFonts w:ascii="微软雅黑" w:hAnsi="微软雅黑" w:eastAsia="微软雅黑" w:cs="微软雅黑"/>
          <w:b/>
          <w:color w:val="000000"/>
          <w:sz w:val="22"/>
        </w:rPr>
        <w:t>课程对象：</w:t>
      </w:r>
    </w:p>
    <w:p w14:paraId="19B5C57C">
      <w:r>
        <w:rPr>
          <w:rFonts w:ascii="微软雅黑" w:hAnsi="微软雅黑" w:eastAsia="微软雅黑" w:cs="微软雅黑"/>
          <w:sz w:val="20"/>
        </w:rPr>
        <w:t>企业主、CEO、总经理等企业决策者；人力资源总监、经理、薪酬绩效经理/专员；各业务部门负责人、中层管理者；希望系统提升薪酬绩效管理专业能力的职场人士。</w:t>
      </w:r>
    </w:p>
    <w:p w14:paraId="6457EDC4"/>
    <w:p w14:paraId="3772E2F5"/>
    <w:p w14:paraId="06FBEC32">
      <w:r>
        <w:rPr>
          <w:rFonts w:ascii="微软雅黑" w:hAnsi="微软雅黑" w:eastAsia="微软雅黑" w:cs="微软雅黑"/>
          <w:b/>
          <w:color w:val="2E74B5"/>
          <w:sz w:val="26"/>
        </w:rPr>
        <w:t>课程大纲/Outline</w:t>
      </w:r>
    </w:p>
    <w:p w14:paraId="3C344864">
      <w:r>
        <w:rPr>
          <w:rFonts w:ascii="微软雅黑" w:hAnsi="微软雅黑" w:eastAsia="微软雅黑" w:cs="微软雅黑"/>
          <w:b/>
          <w:color w:val="000000"/>
          <w:sz w:val="22"/>
        </w:rPr>
        <w:t>第一天：筑基固本——构建科学合理的薪酬体系</w:t>
      </w:r>
    </w:p>
    <w:p w14:paraId="24E0D717">
      <w:r>
        <w:rPr>
          <w:rFonts w:ascii="微软雅黑" w:hAnsi="微软雅黑" w:eastAsia="微软雅黑" w:cs="微软雅黑"/>
          <w:b/>
          <w:color w:val="000000"/>
          <w:sz w:val="22"/>
        </w:rPr>
        <w:t>模块一：共赢视角下的薪酬战略</w:t>
      </w:r>
    </w:p>
    <w:p w14:paraId="64681C5F">
      <w:r>
        <w:rPr>
          <w:rFonts w:ascii="微软雅黑" w:hAnsi="微软雅黑" w:eastAsia="微软雅黑" w:cs="微软雅黑"/>
          <w:sz w:val="20"/>
        </w:rPr>
        <w:t>1.薪酬绩效的激励效应：为什么“高工资≠高激励”？</w:t>
      </w:r>
    </w:p>
    <w:p w14:paraId="438D1473">
      <w:r>
        <w:rPr>
          <w:rFonts w:ascii="微软雅黑" w:hAnsi="微软雅黑" w:eastAsia="微软雅黑" w:cs="微软雅黑"/>
          <w:sz w:val="20"/>
        </w:rPr>
        <w:t>2.破冰活动：企业薪酬激励的痛点诊断</w:t>
      </w:r>
    </w:p>
    <w:p w14:paraId="1708A247">
      <w:r>
        <w:rPr>
          <w:rFonts w:ascii="微软雅黑" w:hAnsi="微软雅黑" w:eastAsia="微软雅黑" w:cs="微软雅黑"/>
          <w:sz w:val="20"/>
        </w:rPr>
        <w:t>3.薪酬理念：从成本到投资，从交易到共赢</w:t>
      </w:r>
    </w:p>
    <w:p w14:paraId="3E4D7D8B">
      <w:r>
        <w:rPr>
          <w:rFonts w:ascii="微软雅黑" w:hAnsi="微软雅黑" w:eastAsia="微软雅黑" w:cs="微软雅黑"/>
          <w:sz w:val="20"/>
        </w:rPr>
        <w:t>4.薪酬体系如何支撑企业战略与业务发展？</w:t>
      </w:r>
    </w:p>
    <w:p w14:paraId="0F51455B">
      <w:r>
        <w:rPr>
          <w:rFonts w:ascii="微软雅黑" w:hAnsi="微软雅黑" w:eastAsia="微软雅黑" w:cs="微软雅黑"/>
          <w:sz w:val="20"/>
        </w:rPr>
        <w:t>5.典型错误的薪酬设计与分配模式</w:t>
      </w:r>
    </w:p>
    <w:p w14:paraId="1B0A1F83">
      <w:r>
        <w:rPr>
          <w:rFonts w:ascii="微软雅黑" w:hAnsi="微软雅黑" w:eastAsia="微软雅黑" w:cs="微软雅黑"/>
          <w:sz w:val="20"/>
        </w:rPr>
        <w:t>6.人才激励的本质和逻辑</w:t>
      </w:r>
    </w:p>
    <w:p w14:paraId="780224C7">
      <w:r>
        <w:rPr>
          <w:rFonts w:ascii="微软雅黑" w:hAnsi="微软雅黑" w:eastAsia="微软雅黑" w:cs="微软雅黑"/>
          <w:sz w:val="20"/>
        </w:rPr>
        <w:t>7.商业模式与薪酬体系设计的关系</w:t>
      </w:r>
    </w:p>
    <w:p w14:paraId="5811A810">
      <w:r>
        <w:rPr>
          <w:rFonts w:ascii="微软雅黑" w:hAnsi="微软雅黑" w:eastAsia="微软雅黑" w:cs="微软雅黑"/>
          <w:sz w:val="20"/>
        </w:rPr>
        <w:t>★案例：华为高绩效高回报薪酬体系如何支撑全球化扩张</w:t>
      </w:r>
    </w:p>
    <w:p w14:paraId="2CB6E7B9">
      <w:r>
        <w:rPr>
          <w:rFonts w:ascii="微软雅黑" w:hAnsi="微软雅黑" w:eastAsia="微软雅黑" w:cs="微软雅黑"/>
          <w:b/>
          <w:color w:val="000000"/>
          <w:sz w:val="22"/>
        </w:rPr>
        <w:t>模块二：岗位价值评估</w:t>
      </w:r>
    </w:p>
    <w:p w14:paraId="2AD705D2">
      <w:r>
        <w:rPr>
          <w:rFonts w:ascii="微软雅黑" w:hAnsi="微软雅黑" w:eastAsia="微软雅黑" w:cs="微软雅黑"/>
          <w:sz w:val="20"/>
        </w:rPr>
        <w:t>1.解决内部公平性问题：岗位价值评估方法实操（因素评分法简介与演练）</w:t>
      </w:r>
    </w:p>
    <w:p w14:paraId="55CBFB2E">
      <w:r>
        <w:rPr>
          <w:rFonts w:ascii="微软雅黑" w:hAnsi="微软雅黑" w:eastAsia="微软雅黑" w:cs="微软雅黑"/>
          <w:sz w:val="20"/>
        </w:rPr>
        <w:t>★工具：排序法、分类法、因素法、记点法</w:t>
      </w:r>
    </w:p>
    <w:p w14:paraId="592170E7">
      <w:r>
        <w:rPr>
          <w:rFonts w:ascii="微软雅黑" w:hAnsi="微软雅黑" w:eastAsia="微软雅黑" w:cs="微软雅黑"/>
          <w:sz w:val="20"/>
        </w:rPr>
        <w:t>★实战演练：为关键岗位进行价值评估</w:t>
      </w:r>
    </w:p>
    <w:p w14:paraId="66B3A024">
      <w:r>
        <w:rPr>
          <w:rFonts w:ascii="微软雅黑" w:hAnsi="微软雅黑" w:eastAsia="微软雅黑" w:cs="微软雅黑"/>
          <w:sz w:val="20"/>
        </w:rPr>
        <w:t>2.评估结果应用：岗位等级划分与薪酬区间匹配</w:t>
      </w:r>
    </w:p>
    <w:p w14:paraId="581B491B">
      <w:r>
        <w:rPr>
          <w:rFonts w:ascii="微软雅黑" w:hAnsi="微软雅黑" w:eastAsia="微软雅黑" w:cs="微软雅黑"/>
          <w:sz w:val="20"/>
        </w:rPr>
        <w:t>★案例研讨：不同发展阶段企业的薪酬策略选择</w:t>
      </w:r>
    </w:p>
    <w:p w14:paraId="6652A076">
      <w:r>
        <w:rPr>
          <w:rFonts w:ascii="微软雅黑" w:hAnsi="微软雅黑" w:eastAsia="微软雅黑" w:cs="微软雅黑"/>
          <w:b/>
          <w:color w:val="000000"/>
          <w:sz w:val="22"/>
        </w:rPr>
        <w:t>模块三：有竞争力的薪酬结构设计</w:t>
      </w:r>
    </w:p>
    <w:p w14:paraId="1808F396">
      <w:r>
        <w:rPr>
          <w:rFonts w:ascii="微软雅黑" w:hAnsi="微软雅黑" w:eastAsia="微软雅黑" w:cs="微软雅黑"/>
          <w:sz w:val="20"/>
        </w:rPr>
        <w:t>1.解决外部竞争力问题：薪酬调查数据的获取与应用</w:t>
      </w:r>
    </w:p>
    <w:p w14:paraId="724E4BF0">
      <w:r>
        <w:rPr>
          <w:rFonts w:ascii="微软雅黑" w:hAnsi="微软雅黑" w:eastAsia="微软雅黑" w:cs="微软雅黑"/>
          <w:sz w:val="20"/>
        </w:rPr>
        <w:t>2.设计薪酬宽带：中点、幅宽与重叠度</w:t>
      </w:r>
    </w:p>
    <w:p w14:paraId="226D21A1">
      <w:r>
        <w:rPr>
          <w:rFonts w:ascii="微软雅黑" w:hAnsi="微软雅黑" w:eastAsia="微软雅黑" w:cs="微软雅黑"/>
          <w:sz w:val="20"/>
        </w:rPr>
        <w:t>3.薪酬结构设计：固定与浮动比例、级差与档差设定</w:t>
      </w:r>
    </w:p>
    <w:p w14:paraId="4B3F6FA6">
      <w:r>
        <w:rPr>
          <w:rFonts w:ascii="微软雅黑" w:hAnsi="微软雅黑" w:eastAsia="微软雅黑" w:cs="微软雅黑"/>
          <w:sz w:val="20"/>
        </w:rPr>
        <w:t>4.销售、研发、生产、职能、后台、高管等不同职能的薪酬设计要点</w:t>
      </w:r>
    </w:p>
    <w:p w14:paraId="7A878A88">
      <w:r>
        <w:rPr>
          <w:rFonts w:ascii="微软雅黑" w:hAnsi="微软雅黑" w:eastAsia="微软雅黑" w:cs="微软雅黑"/>
          <w:sz w:val="20"/>
        </w:rPr>
        <w:t>★案例研讨：销售型团队结果导向的强激励模型</w:t>
      </w:r>
    </w:p>
    <w:p w14:paraId="10F67C85">
      <w:r>
        <w:rPr>
          <w:rFonts w:ascii="微软雅黑" w:hAnsi="微软雅黑" w:eastAsia="微软雅黑" w:cs="微软雅黑"/>
          <w:sz w:val="20"/>
        </w:rPr>
        <w:t>★案例研讨：研发/技术团队长期主义与短期激励的平衡</w:t>
      </w:r>
    </w:p>
    <w:p w14:paraId="41716278">
      <w:r>
        <w:rPr>
          <w:rFonts w:ascii="微软雅黑" w:hAnsi="微软雅黑" w:eastAsia="微软雅黑" w:cs="微软雅黑"/>
          <w:sz w:val="20"/>
        </w:rPr>
        <w:t>★案例研讨：职能/后台团队的混合激励模式</w:t>
      </w:r>
    </w:p>
    <w:p w14:paraId="6CCBDE77">
      <w:r>
        <w:rPr>
          <w:rFonts w:ascii="微软雅黑" w:hAnsi="微软雅黑" w:eastAsia="微软雅黑" w:cs="微软雅黑"/>
          <w:sz w:val="20"/>
        </w:rPr>
        <w:t>★案例研讨：高管团队短期/中期/长期激励的黄金配比</w:t>
      </w:r>
    </w:p>
    <w:p w14:paraId="3110CC35">
      <w:r>
        <w:rPr>
          <w:rFonts w:ascii="微软雅黑" w:hAnsi="微软雅黑" w:eastAsia="微软雅黑" w:cs="微软雅黑"/>
          <w:sz w:val="20"/>
        </w:rPr>
        <w:t>5.关键人才（如高管、技术专家）的长期激励方案</w:t>
      </w:r>
    </w:p>
    <w:p w14:paraId="2E8AA6DA">
      <w:r>
        <w:rPr>
          <w:rFonts w:ascii="微软雅黑" w:hAnsi="微软雅黑" w:eastAsia="微软雅黑" w:cs="微软雅黑"/>
          <w:sz w:val="20"/>
        </w:rPr>
        <w:t>6.低成本高效率的福利体系设计</w:t>
      </w:r>
    </w:p>
    <w:p w14:paraId="316E9311">
      <w:r>
        <w:rPr>
          <w:rFonts w:ascii="微软雅黑" w:hAnsi="微软雅黑" w:eastAsia="微软雅黑" w:cs="微软雅黑"/>
          <w:sz w:val="20"/>
        </w:rPr>
        <w:t>★案例研讨：不同管理模式与文化的薪酬策略</w:t>
      </w:r>
    </w:p>
    <w:p w14:paraId="17306A5D">
      <w:r>
        <w:rPr>
          <w:rFonts w:ascii="微软雅黑" w:hAnsi="微软雅黑" w:eastAsia="微软雅黑" w:cs="微软雅黑"/>
          <w:b/>
          <w:color w:val="000000"/>
          <w:sz w:val="22"/>
        </w:rPr>
        <w:t>模块四：薪酬调整与成本控制</w:t>
      </w:r>
    </w:p>
    <w:p w14:paraId="63A19B63">
      <w:r>
        <w:rPr>
          <w:rFonts w:ascii="微软雅黑" w:hAnsi="微软雅黑" w:eastAsia="微软雅黑" w:cs="微软雅黑"/>
          <w:sz w:val="20"/>
        </w:rPr>
        <w:t>1.薪酬预算设定方法：薪酬比例、盈亏平衡、劳动分配、自下而上</w:t>
      </w:r>
    </w:p>
    <w:p w14:paraId="042D66F1">
      <w:r>
        <w:rPr>
          <w:rFonts w:ascii="微软雅黑" w:hAnsi="微软雅黑" w:eastAsia="微软雅黑" w:cs="微软雅黑"/>
          <w:sz w:val="20"/>
        </w:rPr>
        <w:t>2.年度调薪流程：普调、绩效调薪与晋升调薪</w:t>
      </w:r>
    </w:p>
    <w:p w14:paraId="44980FD5">
      <w:r>
        <w:rPr>
          <w:rFonts w:ascii="微软雅黑" w:hAnsi="微软雅黑" w:eastAsia="微软雅黑" w:cs="微软雅黑"/>
          <w:sz w:val="20"/>
        </w:rPr>
        <w:t>3.薪酬数据分析与沟通：向员工解释薪酬构成，提升透明度与满意度</w:t>
      </w:r>
    </w:p>
    <w:p w14:paraId="0964143B">
      <w:r>
        <w:rPr>
          <w:rFonts w:ascii="微软雅黑" w:hAnsi="微软雅黑" w:eastAsia="微软雅黑" w:cs="微软雅黑"/>
          <w:sz w:val="20"/>
        </w:rPr>
        <w:t>★案例研讨：海尔人单合一模式解析</w:t>
      </w:r>
    </w:p>
    <w:p w14:paraId="2C0A307A">
      <w:r>
        <w:rPr>
          <w:rFonts w:ascii="微软雅黑" w:hAnsi="微软雅黑" w:eastAsia="微软雅黑" w:cs="微软雅黑"/>
          <w:b/>
          <w:color w:val="000000"/>
          <w:sz w:val="22"/>
        </w:rPr>
        <w:t>第二天：驱动增长——打造敏捷高效的绩效体系</w:t>
      </w:r>
    </w:p>
    <w:p w14:paraId="36A3E9F4">
      <w:r>
        <w:rPr>
          <w:rFonts w:ascii="微软雅黑" w:hAnsi="微软雅黑" w:eastAsia="微软雅黑" w:cs="微软雅黑"/>
          <w:b/>
          <w:color w:val="000000"/>
          <w:sz w:val="22"/>
        </w:rPr>
        <w:t>模块五：从战略到执行的绩效目标设定</w:t>
      </w:r>
    </w:p>
    <w:p w14:paraId="3FCEEE59">
      <w:r>
        <w:rPr>
          <w:rFonts w:ascii="微软雅黑" w:hAnsi="微软雅黑" w:eastAsia="微软雅黑" w:cs="微软雅黑"/>
          <w:sz w:val="20"/>
        </w:rPr>
        <w:t>1.绩效管理五大程序</w:t>
      </w:r>
    </w:p>
    <w:p w14:paraId="79C540EB">
      <w:r>
        <w:rPr>
          <w:rFonts w:ascii="微软雅黑" w:hAnsi="微软雅黑" w:eastAsia="微软雅黑" w:cs="微软雅黑"/>
          <w:sz w:val="20"/>
        </w:rPr>
        <w:t>2.绩效管理五大工具：MBO、OKR、KPI、KSF、BSC</w:t>
      </w:r>
    </w:p>
    <w:p w14:paraId="15BD51A9">
      <w:r>
        <w:rPr>
          <w:rFonts w:ascii="微软雅黑" w:hAnsi="微软雅黑" w:eastAsia="微软雅黑" w:cs="微软雅黑"/>
          <w:sz w:val="20"/>
        </w:rPr>
        <w:t>3.绩效评价七大方法：关键事件法、行为锚定法、行为观察法、加权选择法、强制排序法、强制分布法、360度评估</w:t>
      </w:r>
    </w:p>
    <w:p w14:paraId="5CA920EE">
      <w:r>
        <w:rPr>
          <w:rFonts w:ascii="微软雅黑" w:hAnsi="微软雅黑" w:eastAsia="微软雅黑" w:cs="微软雅黑"/>
          <w:sz w:val="20"/>
        </w:rPr>
        <w:t>★案例研讨：因绩效目标与战略错位导致年度亏损的复盘</w:t>
      </w:r>
    </w:p>
    <w:p w14:paraId="28D5CF6B">
      <w:r>
        <w:rPr>
          <w:rFonts w:ascii="微软雅黑" w:hAnsi="微软雅黑" w:eastAsia="微软雅黑" w:cs="微软雅黑"/>
          <w:sz w:val="20"/>
        </w:rPr>
        <w:t>4.PBC绩效管理模式</w:t>
      </w:r>
    </w:p>
    <w:p w14:paraId="5C2FD480">
      <w:r>
        <w:rPr>
          <w:rFonts w:ascii="微软雅黑" w:hAnsi="微软雅黑" w:eastAsia="微软雅黑" w:cs="微软雅黑"/>
          <w:sz w:val="20"/>
        </w:rPr>
        <w:t>5.用“北极星指标”聚焦部门核心价值，避免指标堆砌</w:t>
      </w:r>
    </w:p>
    <w:p w14:paraId="35207C8F">
      <w:r>
        <w:rPr>
          <w:rFonts w:ascii="微软雅黑" w:hAnsi="微软雅黑" w:eastAsia="微软雅黑" w:cs="微软雅黑"/>
          <w:sz w:val="20"/>
        </w:rPr>
        <w:t>6.梳理绩效价值结构，划分绩效指标权重</w:t>
      </w:r>
    </w:p>
    <w:p w14:paraId="678469B5">
      <w:r>
        <w:rPr>
          <w:rFonts w:ascii="微软雅黑" w:hAnsi="微软雅黑" w:eastAsia="微软雅黑" w:cs="微软雅黑"/>
          <w:sz w:val="20"/>
        </w:rPr>
        <w:t>★案例：英特尔、谷歌、字节跳动的绩效案例解析</w:t>
      </w:r>
    </w:p>
    <w:p w14:paraId="2A521FC8">
      <w:r>
        <w:rPr>
          <w:rFonts w:ascii="微软雅黑" w:hAnsi="微软雅黑" w:eastAsia="微软雅黑" w:cs="微软雅黑"/>
          <w:sz w:val="20"/>
        </w:rPr>
        <w:t>★实战工作坊：为模拟公司或实际部门设定季度/年度关键绩效指标</w:t>
      </w:r>
    </w:p>
    <w:p w14:paraId="73677E94">
      <w:r>
        <w:rPr>
          <w:rFonts w:ascii="微软雅黑" w:hAnsi="微软雅黑" w:eastAsia="微软雅黑" w:cs="微软雅黑"/>
          <w:b/>
          <w:color w:val="000000"/>
          <w:sz w:val="22"/>
        </w:rPr>
        <w:t>模块六：持续绩效沟通与反馈</w:t>
      </w:r>
    </w:p>
    <w:p w14:paraId="558CACD0">
      <w:r>
        <w:rPr>
          <w:rFonts w:ascii="微软雅黑" w:hAnsi="微软雅黑" w:eastAsia="微软雅黑" w:cs="微软雅黑"/>
          <w:sz w:val="20"/>
        </w:rPr>
        <w:t>1.敏捷绩效管理的模式和实施</w:t>
      </w:r>
    </w:p>
    <w:p w14:paraId="374D92A2">
      <w:r>
        <w:rPr>
          <w:rFonts w:ascii="微软雅黑" w:hAnsi="微软雅黑" w:eastAsia="微软雅黑" w:cs="微软雅黑"/>
          <w:sz w:val="20"/>
        </w:rPr>
        <w:t>2.管理者在绩效管理中的角色定位</w:t>
      </w:r>
    </w:p>
    <w:p w14:paraId="3D98FC6D">
      <w:r>
        <w:rPr>
          <w:rFonts w:ascii="微软雅黑" w:hAnsi="微软雅黑" w:eastAsia="微软雅黑" w:cs="微软雅黑"/>
          <w:sz w:val="20"/>
        </w:rPr>
        <w:t>3.高效的绩效沟通技巧：定期一对一沟通、绩效进展回顾</w:t>
      </w:r>
    </w:p>
    <w:p w14:paraId="3A83E9C3">
      <w:r>
        <w:rPr>
          <w:rFonts w:ascii="微软雅黑" w:hAnsi="微软雅黑" w:eastAsia="微软雅黑" w:cs="微软雅黑"/>
          <w:sz w:val="20"/>
        </w:rPr>
        <w:t>★工具：GROW模型在绩效辅导中的应用</w:t>
      </w:r>
    </w:p>
    <w:p w14:paraId="432BC0D1">
      <w:r>
        <w:rPr>
          <w:rFonts w:ascii="微软雅黑" w:hAnsi="微软雅黑" w:eastAsia="微软雅黑" w:cs="微软雅黑"/>
          <w:sz w:val="20"/>
        </w:rPr>
        <w:t>4.绩效辅导展开实施方法</w:t>
      </w:r>
    </w:p>
    <w:p w14:paraId="0A6CB16B">
      <w:r>
        <w:rPr>
          <w:rFonts w:ascii="微软雅黑" w:hAnsi="微软雅黑" w:eastAsia="微软雅黑" w:cs="微软雅黑"/>
          <w:sz w:val="20"/>
        </w:rPr>
        <w:t>5.绩效诊断工具与原因分析</w:t>
      </w:r>
    </w:p>
    <w:p w14:paraId="771B86F3">
      <w:r>
        <w:rPr>
          <w:rFonts w:ascii="微软雅黑" w:hAnsi="微软雅黑" w:eastAsia="微软雅黑" w:cs="微软雅黑"/>
          <w:b/>
          <w:color w:val="000000"/>
          <w:sz w:val="22"/>
        </w:rPr>
        <w:t>模块七：绩效评估与结果应用</w:t>
      </w:r>
    </w:p>
    <w:p w14:paraId="2DAC0F0A">
      <w:r>
        <w:rPr>
          <w:rFonts w:ascii="微软雅黑" w:hAnsi="微软雅黑" w:eastAsia="微软雅黑" w:cs="微软雅黑"/>
          <w:sz w:val="20"/>
        </w:rPr>
        <w:t>1.绩效评估的常见误区与解决方法</w:t>
      </w:r>
    </w:p>
    <w:p w14:paraId="151C6C83">
      <w:r>
        <w:rPr>
          <w:rFonts w:ascii="微软雅黑" w:hAnsi="微软雅黑" w:eastAsia="微软雅黑" w:cs="微软雅黑"/>
          <w:sz w:val="20"/>
        </w:rPr>
        <w:t>2.校准会（Calibration Meeting）：确保评估的公平性与一致性</w:t>
      </w:r>
    </w:p>
    <w:p w14:paraId="5CC001BE">
      <w:r>
        <w:rPr>
          <w:rFonts w:ascii="微软雅黑" w:hAnsi="微软雅黑" w:eastAsia="微软雅黑" w:cs="微软雅黑"/>
          <w:sz w:val="20"/>
        </w:rPr>
        <w:t>3.绩效结果的多元化应用：与薪酬、奖金、晋升、培训发展的强力链接</w:t>
      </w:r>
    </w:p>
    <w:p w14:paraId="7C94188B">
      <w:r>
        <w:rPr>
          <w:rFonts w:ascii="微软雅黑" w:hAnsi="微软雅黑" w:eastAsia="微软雅黑" w:cs="微软雅黑"/>
          <w:sz w:val="20"/>
        </w:rPr>
        <w:t>4.绩效复盘四步法持续优化机制</w:t>
      </w:r>
    </w:p>
    <w:p w14:paraId="7F763280">
      <w:r>
        <w:rPr>
          <w:rFonts w:ascii="微软雅黑" w:hAnsi="微软雅黑" w:eastAsia="微软雅黑" w:cs="微软雅黑"/>
          <w:sz w:val="20"/>
        </w:rPr>
        <w:t>★案例研讨：如何对待绩效不佳的员工</w:t>
      </w:r>
    </w:p>
    <w:p w14:paraId="62D4C872">
      <w:r>
        <w:rPr>
          <w:rFonts w:ascii="微软雅黑" w:hAnsi="微软雅黑" w:eastAsia="微软雅黑" w:cs="微软雅黑"/>
          <w:b/>
          <w:color w:val="000000"/>
          <w:sz w:val="22"/>
        </w:rPr>
        <w:t>模块八：体系推行与变革管理</w:t>
      </w:r>
    </w:p>
    <w:p w14:paraId="5D1383F8">
      <w:r>
        <w:rPr>
          <w:rFonts w:ascii="微软雅黑" w:hAnsi="微软雅黑" w:eastAsia="微软雅黑" w:cs="微软雅黑"/>
          <w:sz w:val="20"/>
        </w:rPr>
        <w:t>1.薪酬绩效体系成功推行的变革管理路线图</w:t>
      </w:r>
    </w:p>
    <w:p w14:paraId="383C7BF0">
      <w:r>
        <w:rPr>
          <w:rFonts w:ascii="微软雅黑" w:hAnsi="微软雅黑" w:eastAsia="微软雅黑" w:cs="微软雅黑"/>
          <w:sz w:val="20"/>
        </w:rPr>
        <w:t>2.常见阻力与应对策略</w:t>
      </w:r>
    </w:p>
    <w:p w14:paraId="73EFBF74">
      <w:r>
        <w:rPr>
          <w:rFonts w:ascii="微软雅黑" w:hAnsi="微软雅黑" w:eastAsia="微软雅黑" w:cs="微软雅黑"/>
          <w:sz w:val="20"/>
        </w:rPr>
        <w:t>★工具：变革阻力矩阵图（识别员工、中层、高层的不同抵触原因）</w:t>
      </w:r>
    </w:p>
    <w:p w14:paraId="411F0CEB">
      <w:r>
        <w:rPr>
          <w:rFonts w:ascii="微软雅黑" w:hAnsi="微软雅黑" w:eastAsia="微软雅黑" w:cs="微软雅黑"/>
          <w:sz w:val="20"/>
        </w:rPr>
        <w:t>★案例：考核化倾向导致员工反感的教训</w:t>
      </w:r>
    </w:p>
    <w:p w14:paraId="5F25B26F">
      <w:r>
        <w:rPr>
          <w:rFonts w:ascii="微软雅黑" w:hAnsi="微软雅黑" w:eastAsia="微软雅黑" w:cs="微软雅黑"/>
          <w:sz w:val="20"/>
        </w:rPr>
        <w:t>3.常见绩效实施疑难问题解析</w:t>
      </w:r>
    </w:p>
    <w:p w14:paraId="0016DA67"/>
    <w:p w14:paraId="2D25B690"/>
    <w:p w14:paraId="5CCB8928">
      <w:r>
        <w:rPr>
          <w:rFonts w:ascii="微软雅黑" w:hAnsi="微软雅黑" w:eastAsia="微软雅黑" w:cs="微软雅黑"/>
          <w:b/>
          <w:color w:val="2E74B5"/>
          <w:sz w:val="26"/>
        </w:rPr>
        <w:t>讲师介绍/Lecturer</w:t>
      </w:r>
    </w:p>
    <w:p w14:paraId="31C93689">
      <w:r>
        <w:rPr>
          <w:rFonts w:ascii="微软雅黑" w:hAnsi="微软雅黑" w:eastAsia="微软雅黑" w:cs="微软雅黑"/>
          <w:b/>
          <w:color w:val="000000"/>
          <w:sz w:val="22"/>
        </w:rPr>
        <w:t>任老师</w:t>
      </w:r>
    </w:p>
    <w:p w14:paraId="1B18E33E">
      <w:r>
        <w:rPr>
          <w:rFonts w:ascii="微软雅黑" w:hAnsi="微软雅黑" w:eastAsia="微软雅黑" w:cs="微软雅黑"/>
          <w:sz w:val="20"/>
        </w:rPr>
        <w:t>著名人力资源管理实战派专家</w:t>
      </w:r>
    </w:p>
    <w:p w14:paraId="01001152">
      <w:r>
        <w:rPr>
          <w:rFonts w:ascii="微软雅黑" w:hAnsi="微软雅黑" w:eastAsia="微软雅黑" w:cs="微软雅黑"/>
          <w:sz w:val="20"/>
        </w:rPr>
        <w:t>著名企业管理实战派专家、职业经理人</w:t>
      </w:r>
    </w:p>
    <w:p w14:paraId="0512ED52">
      <w:r>
        <w:rPr>
          <w:rFonts w:ascii="微软雅黑" w:hAnsi="微软雅黑" w:eastAsia="微软雅黑" w:cs="微软雅黑"/>
          <w:sz w:val="20"/>
        </w:rPr>
        <w:t>百万册畅销书作家，管理咨询师、MBA</w:t>
      </w:r>
    </w:p>
    <w:p w14:paraId="1CFB9572">
      <w:r>
        <w:rPr>
          <w:rFonts w:ascii="微软雅黑" w:hAnsi="微软雅黑" w:eastAsia="微软雅黑" w:cs="微软雅黑"/>
          <w:sz w:val="20"/>
        </w:rPr>
        <w:t>曾任世界500强、国内大型A股上市公司HRD</w:t>
      </w:r>
    </w:p>
    <w:p w14:paraId="349CCD58">
      <w:r>
        <w:rPr>
          <w:rFonts w:ascii="微软雅黑" w:hAnsi="微软雅黑" w:eastAsia="微软雅黑" w:cs="微软雅黑"/>
          <w:sz w:val="20"/>
        </w:rPr>
        <w:t>北大客座教授</w:t>
      </w:r>
    </w:p>
    <w:p w14:paraId="0D5A8EC3">
      <w:r>
        <w:rPr>
          <w:rFonts w:ascii="微软雅黑" w:hAnsi="微软雅黑" w:eastAsia="微软雅黑" w:cs="微软雅黑"/>
          <w:sz w:val="20"/>
        </w:rPr>
        <w:t>工信部质量品牌公共服务平台专家</w:t>
      </w:r>
    </w:p>
    <w:p w14:paraId="74EFFE52">
      <w:r>
        <w:rPr>
          <w:rFonts w:ascii="微软雅黑" w:hAnsi="微软雅黑" w:eastAsia="微软雅黑" w:cs="微软雅黑"/>
          <w:sz w:val="20"/>
        </w:rPr>
        <w:t>亚太人才资本研究院专家特聘讲师</w:t>
      </w:r>
    </w:p>
    <w:p w14:paraId="4EEA122D">
      <w:r>
        <w:rPr>
          <w:rFonts w:ascii="微软雅黑" w:hAnsi="微软雅黑" w:eastAsia="微软雅黑" w:cs="微软雅黑"/>
          <w:sz w:val="20"/>
        </w:rPr>
        <w:t>百万粉丝大V</w:t>
      </w:r>
    </w:p>
    <w:p w14:paraId="7BA76D9B"/>
    <w:p w14:paraId="0DADA29B"/>
    <w:p w14:paraId="11AD3821">
      <w:r>
        <w:rPr>
          <w:rFonts w:ascii="微软雅黑" w:hAnsi="微软雅黑" w:eastAsia="微软雅黑" w:cs="微软雅黑"/>
          <w:b/>
          <w:color w:val="000000"/>
          <w:sz w:val="22"/>
        </w:rPr>
        <w:t>个人经历：</w:t>
      </w:r>
    </w:p>
    <w:p w14:paraId="14130548">
      <w:r>
        <w:rPr>
          <w:rFonts w:ascii="微软雅黑" w:hAnsi="微软雅黑" w:eastAsia="微软雅黑" w:cs="微软雅黑"/>
          <w:sz w:val="20"/>
        </w:rPr>
        <w:t>26岁成为百亿上市公司人力资源总监，职业生涯中面试选拔过一万人次以上的人才，百万人次学习网课讲师，网上作品有超过一亿次的点击率，所有知识服务产品好评率超过99%；十余年管理实战经验，专注于解决企业管理和人力资源管理的实战问题，常年为多家上市公司提供企业管理和人力资源管理咨询服务；曾帮助多家上市公司搭建和完善战略地图、人力资源管理体系、流程制度，并协助公司得良好的绩效。</w:t>
      </w:r>
    </w:p>
    <w:p w14:paraId="37DC10ED"/>
    <w:p w14:paraId="6165B2B2">
      <w:r>
        <w:rPr>
          <w:rFonts w:ascii="微软雅黑" w:hAnsi="微软雅黑" w:eastAsia="微软雅黑" w:cs="微软雅黑"/>
          <w:b/>
          <w:color w:val="000000"/>
          <w:sz w:val="22"/>
        </w:rPr>
        <w:t>拥有资质：</w:t>
      </w:r>
    </w:p>
    <w:p w14:paraId="0EE9C198">
      <w:r>
        <w:rPr>
          <w:rFonts w:ascii="微软雅黑" w:hAnsi="微软雅黑" w:eastAsia="微软雅黑" w:cs="微软雅黑"/>
          <w:sz w:val="20"/>
        </w:rPr>
        <w:t>注册国际高级职业经理人（CISPM，ACI认证）</w:t>
      </w:r>
    </w:p>
    <w:p w14:paraId="67BE8706">
      <w:r>
        <w:rPr>
          <w:rFonts w:ascii="微软雅黑" w:hAnsi="微软雅黑" w:eastAsia="微软雅黑" w:cs="微软雅黑"/>
          <w:sz w:val="20"/>
        </w:rPr>
        <w:t>国际注册高级人力资源管理师（ICSHRM，ACI认证）</w:t>
      </w:r>
    </w:p>
    <w:p w14:paraId="4756B7A0">
      <w:r>
        <w:rPr>
          <w:rFonts w:ascii="微软雅黑" w:hAnsi="微软雅黑" w:eastAsia="微软雅黑" w:cs="微软雅黑"/>
          <w:sz w:val="20"/>
        </w:rPr>
        <w:t>国际注册高级职业培训师（ICSPL，AIVCA认证）</w:t>
      </w:r>
    </w:p>
    <w:p w14:paraId="5A7E7705">
      <w:r>
        <w:rPr>
          <w:rFonts w:ascii="微软雅黑" w:hAnsi="微软雅黑" w:eastAsia="微软雅黑" w:cs="微软雅黑"/>
          <w:sz w:val="20"/>
        </w:rPr>
        <w:t>国家一级人力资源管理师</w:t>
      </w:r>
    </w:p>
    <w:p w14:paraId="236657AE">
      <w:r>
        <w:rPr>
          <w:rFonts w:ascii="微软雅黑" w:hAnsi="微软雅黑" w:eastAsia="微软雅黑" w:cs="微软雅黑"/>
          <w:sz w:val="20"/>
        </w:rPr>
        <w:t>国家二级心理咨询师</w:t>
      </w:r>
    </w:p>
    <w:p w14:paraId="63330D02">
      <w:r>
        <w:rPr>
          <w:rFonts w:ascii="微软雅黑" w:hAnsi="微软雅黑" w:eastAsia="微软雅黑" w:cs="微软雅黑"/>
          <w:sz w:val="20"/>
        </w:rPr>
        <w:t>国家职业生涯规划师</w:t>
      </w:r>
    </w:p>
    <w:p w14:paraId="16E3EEA4">
      <w:r>
        <w:rPr>
          <w:rFonts w:ascii="微软雅黑" w:hAnsi="微软雅黑" w:eastAsia="微软雅黑" w:cs="微软雅黑"/>
          <w:sz w:val="20"/>
        </w:rPr>
        <w:t>大学生实习就业指导师</w:t>
      </w:r>
    </w:p>
    <w:p w14:paraId="769EB004">
      <w:r>
        <w:rPr>
          <w:rFonts w:ascii="微软雅黑" w:hAnsi="微软雅黑" w:eastAsia="微软雅黑" w:cs="微软雅黑"/>
          <w:sz w:val="20"/>
        </w:rPr>
        <w:t>当当网第九届、第十届影响力作家</w:t>
      </w:r>
    </w:p>
    <w:p w14:paraId="3D95B2DA">
      <w:r>
        <w:rPr>
          <w:rFonts w:ascii="微软雅黑" w:hAnsi="微软雅黑" w:eastAsia="微软雅黑" w:cs="微软雅黑"/>
          <w:sz w:val="20"/>
        </w:rPr>
        <w:t>三茅人力资源网百人计划导师，最受欢迎书籍作者，最受欢迎课程老师</w:t>
      </w:r>
    </w:p>
    <w:p w14:paraId="5502C989"/>
    <w:p w14:paraId="620562A1">
      <w:r>
        <w:rPr>
          <w:rFonts w:ascii="微软雅黑" w:hAnsi="微软雅黑" w:eastAsia="微软雅黑" w:cs="微软雅黑"/>
          <w:b/>
          <w:color w:val="000000"/>
          <w:sz w:val="22"/>
        </w:rPr>
        <w:t>著作：</w:t>
      </w:r>
    </w:p>
    <w:p w14:paraId="09D3C8EA">
      <w:r>
        <w:rPr>
          <w:rFonts w:ascii="微软雅黑" w:hAnsi="微软雅黑" w:eastAsia="微软雅黑" w:cs="微软雅黑"/>
          <w:sz w:val="20"/>
        </w:rPr>
        <w:t>《小团队管理的7个方法》</w:t>
      </w:r>
    </w:p>
    <w:p w14:paraId="68FE3E66">
      <w:r>
        <w:rPr>
          <w:rFonts w:ascii="微软雅黑" w:hAnsi="微软雅黑" w:eastAsia="微软雅黑" w:cs="微软雅黑"/>
          <w:sz w:val="20"/>
        </w:rPr>
        <w:t>《人力资源量化管理和数据分析》</w:t>
      </w:r>
    </w:p>
    <w:p w14:paraId="6DDE1486">
      <w:r>
        <w:rPr>
          <w:rFonts w:ascii="微软雅黑" w:hAnsi="微软雅黑" w:eastAsia="微软雅黑" w:cs="微软雅黑"/>
          <w:sz w:val="20"/>
        </w:rPr>
        <w:t>《用数据提升人力资源管理效能》</w:t>
      </w:r>
    </w:p>
    <w:p w14:paraId="7E48BD94">
      <w:r>
        <w:rPr>
          <w:rFonts w:ascii="微软雅黑" w:hAnsi="微软雅黑" w:eastAsia="微软雅黑" w:cs="微软雅黑"/>
          <w:sz w:val="20"/>
        </w:rPr>
        <w:t>《人力资源成本管控》</w:t>
      </w:r>
    </w:p>
    <w:p w14:paraId="5F30DC12">
      <w:r>
        <w:rPr>
          <w:rFonts w:ascii="微软雅黑" w:hAnsi="微软雅黑" w:eastAsia="微软雅黑" w:cs="微软雅黑"/>
          <w:sz w:val="20"/>
        </w:rPr>
        <w:t>《有效激励员工的70个场景案例》</w:t>
      </w:r>
    </w:p>
    <w:p w14:paraId="11680E22">
      <w:r>
        <w:rPr>
          <w:rFonts w:ascii="微软雅黑" w:hAnsi="微软雅黑" w:eastAsia="微软雅黑" w:cs="微软雅黑"/>
          <w:sz w:val="20"/>
        </w:rPr>
        <w:t>《人力资源管理实操从入门到精通》</w:t>
      </w:r>
    </w:p>
    <w:p w14:paraId="20FA62A4">
      <w:r>
        <w:rPr>
          <w:rFonts w:ascii="微软雅黑" w:hAnsi="微软雅黑" w:eastAsia="微软雅黑" w:cs="微软雅黑"/>
          <w:sz w:val="20"/>
        </w:rPr>
        <w:t>《薪酬管理实操从入门到精通》</w:t>
      </w:r>
    </w:p>
    <w:p w14:paraId="79C7FDB9">
      <w:r>
        <w:rPr>
          <w:rFonts w:ascii="微软雅黑" w:hAnsi="微软雅黑" w:eastAsia="微软雅黑" w:cs="微软雅黑"/>
          <w:sz w:val="20"/>
        </w:rPr>
        <w:t>《绩效管理与量化考核从入门到精通》</w:t>
      </w:r>
    </w:p>
    <w:p w14:paraId="38961834">
      <w:r>
        <w:rPr>
          <w:rFonts w:ascii="微软雅黑" w:hAnsi="微软雅黑" w:eastAsia="微软雅黑" w:cs="微软雅黑"/>
          <w:sz w:val="20"/>
        </w:rPr>
        <w:t>《招聘面试入职离职管理实操从入门到精通》</w:t>
      </w:r>
    </w:p>
    <w:p w14:paraId="3766D00A">
      <w:r>
        <w:rPr>
          <w:rFonts w:ascii="微软雅黑" w:hAnsi="微软雅黑" w:eastAsia="微软雅黑" w:cs="微软雅黑"/>
          <w:sz w:val="20"/>
        </w:rPr>
        <w:t>《培训管理实操从入门到精通》</w:t>
      </w:r>
    </w:p>
    <w:p w14:paraId="48A91D9C">
      <w:r>
        <w:rPr>
          <w:rFonts w:ascii="微软雅黑" w:hAnsi="微软雅黑" w:eastAsia="微软雅黑" w:cs="微软雅黑"/>
          <w:sz w:val="20"/>
        </w:rPr>
        <w:t>《员工关系管理与职业发展从入门到精通》</w:t>
      </w:r>
    </w:p>
    <w:p w14:paraId="36EA0920">
      <w:r>
        <w:rPr>
          <w:rFonts w:ascii="微软雅黑" w:hAnsi="微软雅黑" w:eastAsia="微软雅黑" w:cs="微软雅黑"/>
          <w:sz w:val="20"/>
        </w:rPr>
        <w:t>《人力资源法律风险防控从入门到精通》</w:t>
      </w:r>
    </w:p>
    <w:p w14:paraId="05B9E51B">
      <w:r>
        <w:rPr>
          <w:rFonts w:ascii="微软雅黑" w:hAnsi="微软雅黑" w:eastAsia="微软雅黑" w:cs="微软雅黑"/>
          <w:sz w:val="20"/>
        </w:rPr>
        <w:t>《图解人力资源管理》等……</w:t>
      </w:r>
    </w:p>
    <w:p w14:paraId="082A764A">
      <w:r>
        <w:rPr>
          <w:rFonts w:ascii="微软雅黑" w:hAnsi="微软雅黑" w:eastAsia="微软雅黑" w:cs="微软雅黑"/>
          <w:sz w:val="20"/>
        </w:rPr>
        <w:t>已出版50+本著作，销量超100万+，是人力资源管理和团队管理同品种总数量和总销量双冠TOP.1</w:t>
      </w:r>
    </w:p>
    <w:p w14:paraId="5839A059"/>
    <w:p w14:paraId="7F901633">
      <w:r>
        <w:rPr>
          <w:rFonts w:ascii="微软雅黑" w:hAnsi="微软雅黑" w:eastAsia="微软雅黑" w:cs="微软雅黑"/>
          <w:b/>
          <w:color w:val="000000"/>
          <w:sz w:val="22"/>
        </w:rPr>
        <w:t>授课风格：</w:t>
      </w:r>
    </w:p>
    <w:p w14:paraId="69543692">
      <w:r>
        <w:rPr>
          <w:rFonts w:ascii="微软雅黑" w:hAnsi="微软雅黑" w:eastAsia="微软雅黑" w:cs="微软雅黑"/>
          <w:sz w:val="20"/>
        </w:rPr>
        <w:t>实战落地型讲师、咨询式培训者，曾主持多家公司的人力资源管理体系建设，并协助企业取得良好的绩效；不仅是从人力资源的视角谈人力资源管理，更是从企业经营管理的视角、老板的视角讲人力资源管理；将原理和实战结合的非常到位，逻辑严谨，轻松活泼，善于促进学员认知升级，引导学员通过实际案例和课堂实战练习来加深对课题的认识和理解。在授课过程中，注意解决学员实际工作中遇到的问题，并在课程中为学员提供大量实用的方法论和工具库。</w:t>
      </w:r>
    </w:p>
    <w:p w14:paraId="1262EBE4"/>
    <w:p w14:paraId="53D55F86">
      <w:r>
        <w:rPr>
          <w:rFonts w:ascii="微软雅黑" w:hAnsi="微软雅黑" w:eastAsia="微软雅黑" w:cs="微软雅黑"/>
          <w:b/>
          <w:color w:val="000000"/>
          <w:sz w:val="22"/>
        </w:rPr>
        <w:t>主讲课程：</w:t>
      </w:r>
    </w:p>
    <w:p w14:paraId="2E9D4EDA">
      <w:r>
        <w:rPr>
          <w:rFonts w:ascii="微软雅黑" w:hAnsi="微软雅黑" w:eastAsia="微软雅黑" w:cs="微软雅黑"/>
          <w:sz w:val="20"/>
        </w:rPr>
        <w:t>人力资源管理系列（绩效管理、薪酬管理、招聘管理、培训管理、员工关系管理等）、领导力系列、高绩效团队建设、人才激励、TTT系列、职业生涯规划系列。</w:t>
      </w:r>
    </w:p>
    <w:p w14:paraId="6F72082F"/>
    <w:p w14:paraId="2ACB87CD">
      <w:r>
        <w:rPr>
          <w:rFonts w:ascii="微软雅黑" w:hAnsi="微软雅黑" w:eastAsia="微软雅黑" w:cs="微软雅黑"/>
          <w:b/>
          <w:color w:val="000000"/>
          <w:sz w:val="22"/>
        </w:rPr>
        <w:t>服务客户：</w:t>
      </w:r>
    </w:p>
    <w:p w14:paraId="2F7CBF32">
      <w:r>
        <w:rPr>
          <w:rFonts w:ascii="微软雅黑" w:hAnsi="微软雅黑" w:eastAsia="微软雅黑" w:cs="微软雅黑"/>
          <w:sz w:val="20"/>
        </w:rPr>
        <w:t>中国工商银行、中信集团、招商银行、中国移动、中国联通、中国人寿、中国邮政、南方航空、东方航空、保利集团、华润集团、TESCO、华为、富士康、兵器工业集团、万达集团、京东、小米、顺丰、申通、西门子、美的、联想、魏桥、网易、苏宁易购、上汽通用汽车、汉江集团、达索、李宁、新东方、中顺洁柔、迪玛克医药、家家悦集团、光威集团等……</w:t>
      </w:r>
    </w:p>
    <w:p w14:paraId="778B4117"/>
    <w:p w14:paraId="7BBEBB43"/>
    <w:sectPr>
      <w:headerReference r:id="rId4" w:type="first"/>
      <w:headerReference r:id="rId3" w:type="default"/>
      <w:type w:val="continuous"/>
      <w:pgSz w:w="11906" w:h="16838"/>
      <w:pgMar w:top="1440" w:right="1080" w:bottom="1440" w:left="108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858BE">
    <w:pPr>
      <w:pStyle w:val="4"/>
      <w:pBdr>
        <w:bottom w:val="single" w:color="D8D8D8" w:themeColor="background1" w:themeShade="D9" w:sz="6" w:space="8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51759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dit="trackedChanges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jcxMDVjNTU5Y2FhZTRlYjE1Y2IxMzE4ZWZiMmMifQ=="/>
  </w:docVars>
  <w:rsids>
    <w:rsidRoot w:val="00000000"/>
    <w:rsid w:val="187E5D31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/>
      <w:b/>
      <w:bCs/>
      <w:kern w:val="0"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qFormat/>
    <w:uiPriority w:val="99"/>
    <w:rPr>
      <w:sz w:val="18"/>
      <w:szCs w:val="18"/>
    </w:rPr>
  </w:style>
  <w:style w:type="character" w:customStyle="1" w:styleId="9">
    <w:name w:val="页脚 字符"/>
    <w:basedOn w:val="7"/>
    <w:qFormat/>
    <w:uiPriority w:val="99"/>
    <w:rPr>
      <w:sz w:val="18"/>
      <w:szCs w:val="18"/>
    </w:rPr>
  </w:style>
  <w:style w:type="table" w:customStyle="1" w:styleId="10">
    <w:name w:val="无格式表格 1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paragraph" w:customStyle="1" w:styleId="13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 Penny</dc:creator>
  <cp:lastModifiedBy>军伟 陈</cp:lastModifiedBy>
  <cp:revision>284</cp:revision>
  <dcterms:created xsi:type="dcterms:W3CDTF">2021-12-30T11:55:00Z</dcterms:created>
  <dcterms:modified xsi:type="dcterms:W3CDTF">2025-02-19T10:08:00Z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E1FDD09F4F6D45E0A9385DA46B82129B</vt:lpwstr>
  </property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 Penny</dc:creator>
  <cp:lastModifiedBy>军伟 陈</cp:lastModifiedBy>
  <cp:revision>269</cp:revision>
  <dcterms:created xsi:type="dcterms:W3CDTF">2021-12-30T11:55:00Z</dcterms:created>
  <dcterms:modified xsi:type="dcterms:W3CDTF">2024-11-27T13:20:00Z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 Penny</dc:creator>
  <cp:lastModifiedBy>Shen Penny</cp:lastModifiedBy>
  <cp:revision>229</cp:revision>
  <dcterms:created xsi:type="dcterms:W3CDTF">2021-12-30T11:55:00Z</dcterms:created>
  <dcterms:modified xsi:type="dcterms:W3CDTF">2023-01-13T01:40:00Z</dcterms:modified>
</cp:coreProperties>
</file>

<file path=customXml/item7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E1FDD09F4F6D45E0A9385DA46B82129B</vt:lpwstr>
  </property>
</Properties>
</file>

<file path=customXml/item8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customXml/item9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E1FDD09F4F6D45E0A9385DA46B82129B</vt:lpwstr>
  </property>
</Properties>
</file>

<file path=customXml/itemProps1.xml><?xml version="1.0" encoding="utf-8"?>
<ds:datastoreItem xmlns:ds="http://schemas.openxmlformats.org/officeDocument/2006/customXml" ds:itemID="{1295FFCC-A8D6-4252-8D73-C0605AF162FC}">
  <ds:schemaRefs/>
</ds:datastoreItem>
</file>

<file path=customXml/itemProps10.xml><?xml version="1.0" encoding="utf-8"?>
<ds:datastoreItem xmlns:ds="http://schemas.openxmlformats.org/officeDocument/2006/customXml" ds:itemID="{3531c222-7dbe-47ba-a6b5-58bcff44ac0b}">
  <ds:schemaRefs/>
</ds:datastoreItem>
</file>

<file path=customXml/itemProps2.xml><?xml version="1.0" encoding="utf-8"?>
<ds:datastoreItem xmlns:ds="http://schemas.openxmlformats.org/officeDocument/2006/customXml" ds:itemID="{AF36978F-44F0-496E-AF0A-968223BEBEC4}">
  <ds:schemaRefs/>
</ds:datastoreItem>
</file>

<file path=customXml/itemProps3.xml><?xml version="1.0" encoding="utf-8"?>
<ds:datastoreItem xmlns:ds="http://schemas.openxmlformats.org/officeDocument/2006/customXml" ds:itemID="{EAD93815-8B47-4B90-B4B3-B77D396BA7B2}">
  <ds:schemaRefs/>
</ds:datastoreItem>
</file>

<file path=customXml/itemProps4.xml><?xml version="1.0" encoding="utf-8"?>
<ds:datastoreItem xmlns:ds="http://schemas.openxmlformats.org/officeDocument/2006/customXml" ds:itemID="{4943E5E0-F2EA-4BA1-BC14-B3A66A82A148}">
  <ds:schemaRefs/>
</ds:datastoreItem>
</file>

<file path=customXml/itemProps5.xml><?xml version="1.0" encoding="utf-8"?>
<ds:datastoreItem xmlns:ds="http://schemas.openxmlformats.org/officeDocument/2006/customXml" ds:itemID="{6A0CF8BC-B040-4141-B3C5-61F357F7E097}">
  <ds:schemaRefs/>
</ds:datastoreItem>
</file>

<file path=customXml/itemProps6.xml><?xml version="1.0" encoding="utf-8"?>
<ds:datastoreItem xmlns:ds="http://schemas.openxmlformats.org/officeDocument/2006/customXml" ds:itemID="{81354220-907C-4313-A0E9-24F4045478FC}">
  <ds:schemaRefs/>
</ds:datastoreItem>
</file>

<file path=customXml/itemProps7.xml><?xml version="1.0" encoding="utf-8"?>
<ds:datastoreItem xmlns:ds="http://schemas.openxmlformats.org/officeDocument/2006/customXml" ds:itemID="{d142bd42-4c27-42f1-944e-2e29e8eb8390}">
  <ds:schemaRefs/>
</ds:datastoreItem>
</file>

<file path=customXml/itemProps8.xml><?xml version="1.0" encoding="utf-8"?>
<ds:datastoreItem xmlns:ds="http://schemas.openxmlformats.org/officeDocument/2006/customXml" ds:itemID="{f06c3489-0040-4b6c-9b16-4a9420499516}">
  <ds:schemaRefs/>
</ds:datastoreItem>
</file>

<file path=customXml/itemProps9.xml><?xml version="1.0" encoding="utf-8"?>
<ds:datastoreItem xmlns:ds="http://schemas.openxmlformats.org/officeDocument/2006/customXml" ds:itemID="{CF406861-903F-4DDF-BAA1-4332C6B19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3606</Words>
  <Characters>3874</Characters>
  <Lines>1</Lines>
  <Paragraphs>1</Paragraphs>
  <TotalTime>70</TotalTime>
  <ScaleCrop>false</ScaleCrop>
  <LinksUpToDate>false</LinksUpToDate>
  <CharactersWithSpaces>3902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2021-12-30T11:55:00Z</dcterms:created>
  <dc:creator>Shen Penny</dc:creator>
  <cp:lastModifiedBy>Yan</cp:lastModifiedBy>
  <dcterms:modified xsi:type="dcterms:W3CDTF">2025-10-29T05:15:27Z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743D959101C94BFD8574FB42F6D290E3_13</vt:lpwstr>
  </property>
</Properties>
</file>