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8C1DFE">
      <w:pPr>
        <w:spacing w:line="480" w:lineRule="exact"/>
        <w:rPr>
          <w:rFonts w:hint="eastAsia" w:eastAsia="微软雅黑"/>
          <w:b/>
          <w:color w:val="000000"/>
          <w:szCs w:val="21"/>
        </w:rPr>
      </w:pPr>
      <w:bookmarkStart w:id="3" w:name="_GoBack"/>
      <w:bookmarkEnd w:id="3"/>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eastAsia="微软雅黑"/>
          <w:b/>
          <w:color w:val="000000"/>
          <w:szCs w:val="21"/>
        </w:rPr>
        <w:t>20</w:t>
      </w:r>
      <w:r>
        <w:rPr>
          <w:rFonts w:hint="eastAsia" w:eastAsia="微软雅黑"/>
          <w:b/>
          <w:color w:val="000000"/>
          <w:szCs w:val="21"/>
        </w:rPr>
        <w:t>25</w:t>
      </w:r>
      <w:r>
        <w:rPr>
          <w:rFonts w:eastAsia="微软雅黑"/>
          <w:b/>
          <w:color w:val="000000"/>
          <w:szCs w:val="21"/>
        </w:rPr>
        <w:t>年</w:t>
      </w:r>
      <w:r>
        <w:rPr>
          <w:rFonts w:hint="eastAsia" w:eastAsia="微软雅黑"/>
          <w:b/>
          <w:color w:val="000000"/>
          <w:szCs w:val="21"/>
        </w:rPr>
        <w:t xml:space="preserve"> 9</w:t>
      </w:r>
      <w:r>
        <w:rPr>
          <w:rFonts w:eastAsia="微软雅黑"/>
          <w:b/>
          <w:color w:val="000000"/>
          <w:szCs w:val="21"/>
        </w:rPr>
        <w:t>月</w:t>
      </w:r>
      <w:r>
        <w:rPr>
          <w:rFonts w:hint="eastAsia" w:eastAsia="微软雅黑"/>
          <w:b/>
          <w:color w:val="000000"/>
          <w:szCs w:val="21"/>
        </w:rPr>
        <w:t>23~24</w:t>
      </w:r>
      <w:r>
        <w:rPr>
          <w:rFonts w:eastAsia="微软雅黑"/>
          <w:b/>
          <w:color w:val="000000"/>
          <w:szCs w:val="21"/>
        </w:rPr>
        <w:t>日（星期</w:t>
      </w:r>
      <w:r>
        <w:rPr>
          <w:rFonts w:hint="eastAsia" w:eastAsia="微软雅黑"/>
          <w:b/>
          <w:color w:val="000000"/>
          <w:szCs w:val="21"/>
        </w:rPr>
        <w:t xml:space="preserve">二 </w:t>
      </w:r>
      <w:r>
        <w:rPr>
          <w:rFonts w:eastAsia="微软雅黑"/>
          <w:b/>
          <w:color w:val="000000"/>
          <w:szCs w:val="21"/>
        </w:rPr>
        <w:t>~</w:t>
      </w:r>
      <w:r>
        <w:rPr>
          <w:rFonts w:hint="eastAsia" w:eastAsia="微软雅黑"/>
          <w:b/>
          <w:color w:val="000000"/>
          <w:szCs w:val="21"/>
        </w:rPr>
        <w:t xml:space="preserve"> </w:t>
      </w:r>
      <w:r>
        <w:rPr>
          <w:rFonts w:eastAsia="微软雅黑"/>
          <w:b/>
          <w:color w:val="000000"/>
          <w:szCs w:val="21"/>
        </w:rPr>
        <w:t>星期</w:t>
      </w:r>
      <w:r>
        <w:rPr>
          <w:rFonts w:hint="eastAsia" w:eastAsia="微软雅黑"/>
          <w:b/>
          <w:color w:val="000000"/>
          <w:szCs w:val="21"/>
        </w:rPr>
        <w:t>三</w:t>
      </w:r>
      <w:r>
        <w:rPr>
          <w:rFonts w:eastAsia="微软雅黑"/>
          <w:b/>
          <w:color w:val="000000"/>
          <w:szCs w:val="21"/>
        </w:rPr>
        <w:t>）</w:t>
      </w:r>
      <w:r>
        <w:rPr>
          <w:rFonts w:hint="eastAsia" w:eastAsia="微软雅黑"/>
          <w:b/>
          <w:color w:val="000000"/>
          <w:szCs w:val="21"/>
        </w:rPr>
        <w:t>/上 海</w:t>
      </w:r>
    </w:p>
    <w:p w14:paraId="049C65D9">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￥4500/人</w:t>
      </w:r>
    </w:p>
    <w:p w14:paraId="3C79ABEE">
      <w:pPr>
        <w:numPr>
          <w:ilvl w:val="0"/>
          <w:numId w:val="1"/>
        </w:numPr>
        <w:spacing w:line="480" w:lineRule="exact"/>
        <w:ind w:left="0" w:firstLine="0"/>
        <w:rPr>
          <w:rFonts w:eastAsia="微软雅黑"/>
        </w:rPr>
      </w:pPr>
      <w:r>
        <w:rPr>
          <w:rFonts w:eastAsia="微软雅黑"/>
        </w:rPr>
        <w:t>含授课费、证书费、资料费、午餐费、茶点费、会务费、税费</w:t>
      </w:r>
    </w:p>
    <w:p w14:paraId="2D3A89E0">
      <w:pPr>
        <w:numPr>
          <w:ilvl w:val="0"/>
          <w:numId w:val="1"/>
        </w:numPr>
        <w:spacing w:line="480" w:lineRule="exact"/>
        <w:ind w:left="0" w:firstLine="0"/>
        <w:rPr>
          <w:rFonts w:eastAsia="微软雅黑"/>
        </w:rPr>
      </w:pPr>
      <w:r>
        <w:rPr>
          <w:rFonts w:eastAsia="微软雅黑"/>
        </w:rPr>
        <w:t>不包含学员往返培训场地的交通费用、住宿费用、早餐及晚餐</w:t>
      </w:r>
    </w:p>
    <w:p w14:paraId="78368540">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14:paraId="2F7FDF81">
      <w:pPr>
        <w:pStyle w:val="32"/>
        <w:adjustRightInd w:val="0"/>
        <w:snapToGrid w:val="0"/>
        <w:spacing w:line="480" w:lineRule="exact"/>
        <w:rPr>
          <w:rFonts w:eastAsia="微软雅黑"/>
          <w:szCs w:val="21"/>
        </w:rPr>
      </w:pPr>
      <w:r>
        <w:rPr>
          <w:rFonts w:eastAsia="微软雅黑"/>
          <w:szCs w:val="21"/>
        </w:rPr>
        <w:t>本课程从仓储/配送中心管理者角度审视仓储管理及其内部物流管理工作，课程的大部分篇幅将用于谈一个核心问题：如何将仓储/配送中心的运作从有效性层次提高到响应性层次。换言之，便是如何让仓储/配送中心由只关心库存准确的状态，提升到有能力满足企业对其物流能力的巨大期待。</w:t>
      </w:r>
    </w:p>
    <w:p w14:paraId="15397C39">
      <w:pPr>
        <w:pStyle w:val="32"/>
        <w:adjustRightInd w:val="0"/>
        <w:snapToGrid w:val="0"/>
        <w:spacing w:line="480" w:lineRule="exact"/>
        <w:rPr>
          <w:rFonts w:eastAsia="微软雅黑"/>
          <w:szCs w:val="21"/>
        </w:rPr>
      </w:pPr>
      <w:r>
        <w:rPr>
          <w:rFonts w:eastAsia="微软雅黑"/>
          <w:szCs w:val="21"/>
        </w:rPr>
        <w:t>基于对这些年来仓储物流业的发展变化，我们提出了财务属性到服务属性、成本中心到利润中心的仓储管理新定位。课程主要由静态管理与动态管理两部分沟通，前者重点关注仓储的业务数据、布局、设施、设备等方面，后者重点关注仓储的进、出、存、盘等动态业务的进行，并与前者相结合。大量引用实际项目案例，为学员实施仓储改善开辟方向。</w:t>
      </w:r>
    </w:p>
    <w:p w14:paraId="096C3F5B">
      <w:pPr>
        <w:pStyle w:val="32"/>
        <w:adjustRightInd w:val="0"/>
        <w:snapToGrid w:val="0"/>
        <w:spacing w:line="480" w:lineRule="exact"/>
        <w:ind w:firstLineChars="0"/>
        <w:rPr>
          <w:rFonts w:eastAsia="微软雅黑"/>
          <w:szCs w:val="21"/>
        </w:rPr>
      </w:pPr>
      <w:r>
        <w:rPr>
          <w:rFonts w:eastAsia="微软雅黑"/>
          <w:szCs w:val="21"/>
        </w:rPr>
        <w:t>在历届学员中，为数众多的学员通过本课程学习取得良好的改善业绩。其中一位汽车零配件集团公司学员更是在半年内，通过非自动化手段将仓储物流部门的劳动力投入由28人减少至12人。</w:t>
      </w:r>
    </w:p>
    <w:p w14:paraId="100E3AE0">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课程目标&amp;收益：</w:t>
      </w:r>
    </w:p>
    <w:p w14:paraId="2B38D6A5">
      <w:pPr>
        <w:numPr>
          <w:ilvl w:val="0"/>
          <w:numId w:val="1"/>
        </w:numPr>
        <w:spacing w:line="480" w:lineRule="exact"/>
        <w:ind w:left="0" w:firstLine="0"/>
        <w:rPr>
          <w:rFonts w:eastAsia="微软雅黑"/>
        </w:rPr>
      </w:pPr>
      <w:bookmarkStart w:id="0" w:name="OLE_LINK4"/>
      <w:bookmarkStart w:id="1" w:name="OLE_LINK5"/>
      <w:r>
        <w:rPr>
          <w:rFonts w:eastAsia="微软雅黑"/>
        </w:rPr>
        <w:t>重新理解仓储物流部门的职能定位，提高人员业务认知</w:t>
      </w:r>
    </w:p>
    <w:p w14:paraId="2703EC08">
      <w:pPr>
        <w:numPr>
          <w:ilvl w:val="0"/>
          <w:numId w:val="1"/>
        </w:numPr>
        <w:spacing w:line="480" w:lineRule="exact"/>
        <w:ind w:left="0" w:firstLine="0"/>
        <w:rPr>
          <w:rFonts w:eastAsia="微软雅黑"/>
        </w:rPr>
      </w:pPr>
      <w:r>
        <w:rPr>
          <w:rFonts w:eastAsia="微软雅黑"/>
        </w:rPr>
        <w:t>认识仓储物流业务改善切入点，并切实提高其管理水平</w:t>
      </w:r>
    </w:p>
    <w:p w14:paraId="1F3FC55F">
      <w:pPr>
        <w:numPr>
          <w:ilvl w:val="0"/>
          <w:numId w:val="1"/>
        </w:numPr>
        <w:spacing w:line="480" w:lineRule="exact"/>
        <w:ind w:left="0" w:firstLine="0"/>
        <w:rPr>
          <w:rFonts w:eastAsia="微软雅黑"/>
        </w:rPr>
      </w:pPr>
      <w:r>
        <w:rPr>
          <w:rFonts w:eastAsia="微软雅黑"/>
        </w:rPr>
        <w:t>实训仓储物流业务数据分析方法，提高业务分析能力</w:t>
      </w:r>
    </w:p>
    <w:p w14:paraId="47914A05">
      <w:pPr>
        <w:numPr>
          <w:ilvl w:val="0"/>
          <w:numId w:val="1"/>
        </w:numPr>
        <w:spacing w:line="480" w:lineRule="exact"/>
        <w:ind w:left="0" w:firstLine="0"/>
        <w:rPr>
          <w:rFonts w:eastAsia="微软雅黑"/>
        </w:rPr>
      </w:pPr>
      <w:r>
        <w:rPr>
          <w:rFonts w:eastAsia="微软雅黑"/>
        </w:rPr>
        <w:t>掌握仓储管理评估要素、布局以及设施、设备选择的基本方法</w:t>
      </w:r>
    </w:p>
    <w:p w14:paraId="644CFB79">
      <w:pPr>
        <w:numPr>
          <w:ilvl w:val="0"/>
          <w:numId w:val="1"/>
        </w:numPr>
        <w:spacing w:line="480" w:lineRule="exact"/>
        <w:ind w:left="0" w:firstLine="0"/>
        <w:rPr>
          <w:rFonts w:eastAsia="微软雅黑"/>
        </w:rPr>
      </w:pPr>
      <w:r>
        <w:rPr>
          <w:rFonts w:eastAsia="微软雅黑"/>
        </w:rPr>
        <w:t>深入认知收、发、存、盘、拣、配等业务，学习其改善方法</w:t>
      </w:r>
      <w:bookmarkEnd w:id="0"/>
      <w:bookmarkEnd w:id="1"/>
    </w:p>
    <w:p w14:paraId="37E08C6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10B74647">
      <w:pPr>
        <w:adjustRightInd w:val="0"/>
        <w:snapToGrid w:val="0"/>
        <w:spacing w:line="480" w:lineRule="exact"/>
        <w:ind w:left="420"/>
        <w:jc w:val="left"/>
        <w:rPr>
          <w:rFonts w:eastAsia="微软雅黑"/>
          <w:szCs w:val="21"/>
        </w:rPr>
      </w:pPr>
      <w:bookmarkStart w:id="2" w:name="OLE_LINK3"/>
      <w:r>
        <w:rPr>
          <w:rFonts w:eastAsia="微软雅黑"/>
          <w:szCs w:val="21"/>
        </w:rPr>
        <w:t>制造业供应链与物流管理人员、仓储管理人员、配送中心管理人员及其他物料管理业务人员</w:t>
      </w:r>
      <w:bookmarkEnd w:id="2"/>
    </w:p>
    <w:p w14:paraId="4ACF6A50">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53FAA5F0">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637110F8">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10EE70CA">
      <w:pPr>
        <w:pStyle w:val="34"/>
        <w:numPr>
          <w:ilvl w:val="0"/>
          <w:numId w:val="2"/>
        </w:numPr>
        <w:adjustRightInd w:val="0"/>
        <w:snapToGrid w:val="0"/>
        <w:spacing w:line="480" w:lineRule="exact"/>
        <w:ind w:left="425" w:hanging="425" w:firstLineChars="0"/>
        <w:rPr>
          <w:rFonts w:ascii="Times New Roman" w:hAnsi="Times New Roman" w:eastAsia="微软雅黑"/>
          <w:b/>
          <w:sz w:val="24"/>
        </w:rPr>
      </w:pPr>
      <w:r>
        <w:rPr>
          <w:rFonts w:ascii="Times New Roman" w:hAnsi="Times New Roman" w:eastAsia="微软雅黑"/>
          <w:b/>
          <w:sz w:val="24"/>
        </w:rPr>
        <w:t>破冰</w:t>
      </w:r>
    </w:p>
    <w:p w14:paraId="5589BB05">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破冰：仓储的重要性</w:t>
      </w:r>
    </w:p>
    <w:p w14:paraId="0A047B83">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团队组建</w:t>
      </w:r>
    </w:p>
    <w:p w14:paraId="4C461BE6">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针对课程提出小组问题</w:t>
      </w:r>
    </w:p>
    <w:p w14:paraId="4166DBDE">
      <w:pPr>
        <w:pStyle w:val="34"/>
        <w:numPr>
          <w:ilvl w:val="0"/>
          <w:numId w:val="2"/>
        </w:numPr>
        <w:adjustRightInd w:val="0"/>
        <w:snapToGrid w:val="0"/>
        <w:spacing w:line="480" w:lineRule="exact"/>
        <w:ind w:left="425" w:hanging="425" w:firstLineChars="0"/>
        <w:rPr>
          <w:rFonts w:ascii="Times New Roman" w:hAnsi="Times New Roman" w:eastAsia="微软雅黑"/>
          <w:b/>
          <w:sz w:val="24"/>
        </w:rPr>
      </w:pPr>
      <w:r>
        <w:rPr>
          <w:rFonts w:ascii="Times New Roman" w:hAnsi="Times New Roman" w:eastAsia="微软雅黑"/>
          <w:b/>
          <w:sz w:val="24"/>
        </w:rPr>
        <w:t>现代仓储管理</w:t>
      </w:r>
    </w:p>
    <w:p w14:paraId="04EFAAFA">
      <w:pPr>
        <w:pStyle w:val="34"/>
        <w:numPr>
          <w:ilvl w:val="0"/>
          <w:numId w:val="3"/>
        </w:numPr>
        <w:adjustRightInd w:val="0"/>
        <w:snapToGrid w:val="0"/>
        <w:spacing w:line="480" w:lineRule="exact"/>
        <w:ind w:firstLineChars="0"/>
        <w:rPr>
          <w:rFonts w:ascii="Times New Roman" w:hAnsi="Times New Roman" w:eastAsia="微软雅黑"/>
          <w:vanish/>
          <w:sz w:val="22"/>
        </w:rPr>
      </w:pPr>
    </w:p>
    <w:p w14:paraId="3532C4EF">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仓储与制造业</w:t>
      </w:r>
    </w:p>
    <w:p w14:paraId="181B0F68">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现代仓储管理在制造业的新定位</w:t>
      </w:r>
    </w:p>
    <w:p w14:paraId="5150A7F8">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仓储管理的4个层次要求</w:t>
      </w:r>
    </w:p>
    <w:p w14:paraId="5E2A0B6C">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仓储管理的新挑战</w:t>
      </w:r>
    </w:p>
    <w:p w14:paraId="0AC1059B">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成本中心到利润中心</w:t>
      </w:r>
    </w:p>
    <w:p w14:paraId="55A4D78A">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财务属性到服务属性</w:t>
      </w:r>
    </w:p>
    <w:p w14:paraId="0B86AF99">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静态管理向动态管理转变</w:t>
      </w:r>
    </w:p>
    <w:p w14:paraId="758FC54D">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两个关键要素：目视化与业务管理</w:t>
      </w:r>
    </w:p>
    <w:p w14:paraId="0A155B92">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仓储与配送</w:t>
      </w:r>
    </w:p>
    <w:p w14:paraId="10C92C53">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仓储管理与物料配送</w:t>
      </w:r>
    </w:p>
    <w:p w14:paraId="0C1FC393">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库容与效率的平衡问题</w:t>
      </w:r>
    </w:p>
    <w:p w14:paraId="47C20C8B">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自动化、智能化对仓储业务的提速</w:t>
      </w:r>
    </w:p>
    <w:p w14:paraId="162A2327">
      <w:pPr>
        <w:pStyle w:val="34"/>
        <w:numPr>
          <w:ilvl w:val="0"/>
          <w:numId w:val="2"/>
        </w:numPr>
        <w:adjustRightInd w:val="0"/>
        <w:snapToGrid w:val="0"/>
        <w:spacing w:line="480" w:lineRule="exact"/>
        <w:ind w:left="425" w:hanging="425" w:firstLineChars="0"/>
        <w:rPr>
          <w:rFonts w:ascii="Times New Roman" w:hAnsi="Times New Roman" w:eastAsia="微软雅黑"/>
          <w:b/>
          <w:sz w:val="24"/>
        </w:rPr>
      </w:pPr>
      <w:r>
        <w:rPr>
          <w:rFonts w:ascii="Times New Roman" w:hAnsi="Times New Roman" w:eastAsia="微软雅黑"/>
          <w:b/>
          <w:sz w:val="24"/>
        </w:rPr>
        <w:t>现场管理：静态管理，高效的基础</w:t>
      </w:r>
    </w:p>
    <w:p w14:paraId="4351F689">
      <w:pPr>
        <w:pStyle w:val="34"/>
        <w:numPr>
          <w:ilvl w:val="0"/>
          <w:numId w:val="4"/>
        </w:numPr>
        <w:adjustRightInd w:val="0"/>
        <w:snapToGrid w:val="0"/>
        <w:spacing w:line="480" w:lineRule="exact"/>
        <w:ind w:firstLineChars="0"/>
        <w:rPr>
          <w:rFonts w:ascii="Times New Roman" w:hAnsi="Times New Roman" w:eastAsia="微软雅黑"/>
          <w:vanish/>
          <w:sz w:val="22"/>
        </w:rPr>
      </w:pPr>
    </w:p>
    <w:p w14:paraId="6ED767F2">
      <w:pPr>
        <w:pStyle w:val="34"/>
        <w:numPr>
          <w:ilvl w:val="0"/>
          <w:numId w:val="3"/>
        </w:numPr>
        <w:adjustRightInd w:val="0"/>
        <w:snapToGrid w:val="0"/>
        <w:spacing w:line="480" w:lineRule="exact"/>
        <w:ind w:firstLineChars="0"/>
        <w:rPr>
          <w:rFonts w:ascii="Times New Roman" w:hAnsi="Times New Roman" w:eastAsia="微软雅黑"/>
          <w:vanish/>
          <w:sz w:val="22"/>
        </w:rPr>
      </w:pPr>
    </w:p>
    <w:p w14:paraId="2CB22C77">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仓储现场管理要素</w:t>
      </w:r>
    </w:p>
    <w:p w14:paraId="1CEDA7FB">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仓储的类型与不同管理特点</w:t>
      </w:r>
    </w:p>
    <w:p w14:paraId="2892404C">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案例研讨：什么是理想的仓储管理？</w:t>
      </w:r>
    </w:p>
    <w:p w14:paraId="294D9F46">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目视化标准和基本工具</w:t>
      </w:r>
    </w:p>
    <w:p w14:paraId="49EA4B4E">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仓储静态管理的20项评估</w:t>
      </w:r>
    </w:p>
    <w:p w14:paraId="72FD704D">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仓储现场的5S管理</w:t>
      </w:r>
    </w:p>
    <w:p w14:paraId="6EB77E0B">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呆滞料的有效管理</w:t>
      </w:r>
    </w:p>
    <w:p w14:paraId="24E81C44">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什么是呆滞库存？</w:t>
      </w:r>
    </w:p>
    <w:p w14:paraId="368BDD45">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呆滞库存带来的成本损失</w:t>
      </w:r>
    </w:p>
    <w:p w14:paraId="228B8CE6">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呆滞库存对业务的不利影响</w:t>
      </w:r>
    </w:p>
    <w:p w14:paraId="6AB801CC">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如何应对“可能会用到”的呆滞处理问题？</w:t>
      </w:r>
    </w:p>
    <w:p w14:paraId="0B7677E1">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案例分享：呆滞品分析报表</w:t>
      </w:r>
    </w:p>
    <w:p w14:paraId="34851C25">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仓储业务数据分析</w:t>
      </w:r>
    </w:p>
    <w:p w14:paraId="6773CCC0">
      <w:pPr>
        <w:pStyle w:val="34"/>
        <w:numPr>
          <w:ilvl w:val="0"/>
          <w:numId w:val="5"/>
        </w:numPr>
        <w:adjustRightInd w:val="0"/>
        <w:snapToGrid w:val="0"/>
        <w:spacing w:line="480" w:lineRule="exact"/>
        <w:ind w:firstLineChars="0"/>
        <w:rPr>
          <w:rFonts w:ascii="Times New Roman" w:hAnsi="Times New Roman" w:eastAsia="微软雅黑"/>
        </w:rPr>
      </w:pPr>
      <w:r>
        <w:rPr>
          <w:rFonts w:ascii="Times New Roman" w:hAnsi="Times New Roman" w:eastAsia="微软雅黑"/>
          <w:u w:val="single"/>
        </w:rPr>
        <w:t>案例分析：视频中的作业改善机会</w:t>
      </w:r>
    </w:p>
    <w:p w14:paraId="54BF783D">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储运单位PCB分析</w:t>
      </w:r>
    </w:p>
    <w:p w14:paraId="1DD3CFF1">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EIQ分析指导仓储业务优化</w:t>
      </w:r>
    </w:p>
    <w:p w14:paraId="0D398E70">
      <w:pPr>
        <w:pStyle w:val="34"/>
        <w:numPr>
          <w:ilvl w:val="2"/>
          <w:numId w:val="6"/>
        </w:numPr>
        <w:adjustRightInd w:val="0"/>
        <w:snapToGrid w:val="0"/>
        <w:spacing w:line="480" w:lineRule="exact"/>
        <w:ind w:firstLineChars="0"/>
        <w:rPr>
          <w:rFonts w:ascii="Times New Roman" w:hAnsi="Times New Roman" w:eastAsia="微软雅黑"/>
        </w:rPr>
      </w:pPr>
      <w:r>
        <w:rPr>
          <w:rFonts w:ascii="Times New Roman" w:hAnsi="Times New Roman" w:eastAsia="微软雅黑"/>
        </w:rPr>
        <w:t>EQ分析</w:t>
      </w:r>
    </w:p>
    <w:p w14:paraId="1E8B5CC4">
      <w:pPr>
        <w:pStyle w:val="34"/>
        <w:numPr>
          <w:ilvl w:val="2"/>
          <w:numId w:val="6"/>
        </w:numPr>
        <w:adjustRightInd w:val="0"/>
        <w:snapToGrid w:val="0"/>
        <w:spacing w:line="480" w:lineRule="exact"/>
        <w:ind w:firstLineChars="0"/>
        <w:rPr>
          <w:rFonts w:ascii="Times New Roman" w:hAnsi="Times New Roman" w:eastAsia="微软雅黑"/>
        </w:rPr>
      </w:pPr>
      <w:r>
        <w:rPr>
          <w:rFonts w:ascii="Times New Roman" w:hAnsi="Times New Roman" w:eastAsia="微软雅黑"/>
        </w:rPr>
        <w:t>EN分析</w:t>
      </w:r>
    </w:p>
    <w:p w14:paraId="7D928A83">
      <w:pPr>
        <w:pStyle w:val="34"/>
        <w:numPr>
          <w:ilvl w:val="2"/>
          <w:numId w:val="6"/>
        </w:numPr>
        <w:adjustRightInd w:val="0"/>
        <w:snapToGrid w:val="0"/>
        <w:spacing w:line="480" w:lineRule="exact"/>
        <w:ind w:firstLineChars="0"/>
        <w:rPr>
          <w:rFonts w:ascii="Times New Roman" w:hAnsi="Times New Roman" w:eastAsia="微软雅黑"/>
        </w:rPr>
      </w:pPr>
      <w:r>
        <w:rPr>
          <w:rFonts w:ascii="Times New Roman" w:hAnsi="Times New Roman" w:eastAsia="微软雅黑"/>
        </w:rPr>
        <w:t>IQ分析</w:t>
      </w:r>
    </w:p>
    <w:p w14:paraId="2378B112">
      <w:pPr>
        <w:pStyle w:val="34"/>
        <w:numPr>
          <w:ilvl w:val="2"/>
          <w:numId w:val="6"/>
        </w:numPr>
        <w:adjustRightInd w:val="0"/>
        <w:snapToGrid w:val="0"/>
        <w:spacing w:line="480" w:lineRule="exact"/>
        <w:ind w:firstLineChars="0"/>
        <w:rPr>
          <w:rFonts w:ascii="Times New Roman" w:hAnsi="Times New Roman" w:eastAsia="微软雅黑"/>
        </w:rPr>
      </w:pPr>
      <w:r>
        <w:rPr>
          <w:rFonts w:ascii="Times New Roman" w:hAnsi="Times New Roman" w:eastAsia="微软雅黑"/>
        </w:rPr>
        <w:t>IK分析……</w:t>
      </w:r>
    </w:p>
    <w:p w14:paraId="1896E769">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案例练习：某配送中心的PCB与EIQ分析实操</w:t>
      </w:r>
    </w:p>
    <w:p w14:paraId="53991F6A">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仓储现场基本规划</w:t>
      </w:r>
    </w:p>
    <w:p w14:paraId="6C462739">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最难管的备品备件库怎么管？</w:t>
      </w:r>
    </w:p>
    <w:p w14:paraId="32A07484">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仓储规划：需要多大的仓库？</w:t>
      </w:r>
    </w:p>
    <w:p w14:paraId="382717F5">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案例分析：仓储需求面积的核算</w:t>
      </w:r>
    </w:p>
    <w:p w14:paraId="178659D1">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仓储定位：配送型与存储型</w:t>
      </w:r>
    </w:p>
    <w:p w14:paraId="0B071BE1">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仓储现场管理基本要素</w:t>
      </w:r>
    </w:p>
    <w:p w14:paraId="07EE6715">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仓储规划实施步骤简介</w:t>
      </w:r>
    </w:p>
    <w:p w14:paraId="7780B3FB">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仓储物流规划的其他要素分析（建筑、通道、设施、设备……）</w:t>
      </w:r>
    </w:p>
    <w:p w14:paraId="6B95B993">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案例研讨：厦门某配件中心的设施改善机会</w:t>
      </w:r>
    </w:p>
    <w:p w14:paraId="580B6BB9">
      <w:pPr>
        <w:pStyle w:val="34"/>
        <w:numPr>
          <w:ilvl w:val="0"/>
          <w:numId w:val="2"/>
        </w:numPr>
        <w:adjustRightInd w:val="0"/>
        <w:snapToGrid w:val="0"/>
        <w:spacing w:line="480" w:lineRule="exact"/>
        <w:ind w:left="425" w:hanging="425" w:firstLineChars="0"/>
        <w:rPr>
          <w:rFonts w:ascii="Times New Roman" w:hAnsi="Times New Roman" w:eastAsia="微软雅黑"/>
          <w:b/>
          <w:sz w:val="24"/>
        </w:rPr>
      </w:pPr>
      <w:r>
        <w:rPr>
          <w:rFonts w:ascii="Times New Roman" w:hAnsi="Times New Roman" w:eastAsia="微软雅黑"/>
          <w:b/>
          <w:sz w:val="24"/>
        </w:rPr>
        <w:t>动态管理：进、出、存、盘4大业务管理</w:t>
      </w:r>
    </w:p>
    <w:p w14:paraId="5A0D4213">
      <w:pPr>
        <w:pStyle w:val="34"/>
        <w:numPr>
          <w:ilvl w:val="0"/>
          <w:numId w:val="4"/>
        </w:numPr>
        <w:adjustRightInd w:val="0"/>
        <w:snapToGrid w:val="0"/>
        <w:spacing w:line="480" w:lineRule="exact"/>
        <w:ind w:firstLineChars="0"/>
        <w:rPr>
          <w:rFonts w:ascii="Times New Roman" w:hAnsi="Times New Roman" w:eastAsia="微软雅黑"/>
          <w:vanish/>
          <w:sz w:val="22"/>
        </w:rPr>
      </w:pPr>
    </w:p>
    <w:p w14:paraId="3DDD43F3">
      <w:pPr>
        <w:pStyle w:val="34"/>
        <w:numPr>
          <w:ilvl w:val="0"/>
          <w:numId w:val="3"/>
        </w:numPr>
        <w:adjustRightInd w:val="0"/>
        <w:snapToGrid w:val="0"/>
        <w:spacing w:line="480" w:lineRule="exact"/>
        <w:ind w:firstLineChars="0"/>
        <w:rPr>
          <w:rFonts w:ascii="Times New Roman" w:hAnsi="Times New Roman" w:eastAsia="微软雅黑"/>
          <w:vanish/>
          <w:sz w:val="22"/>
        </w:rPr>
      </w:pPr>
    </w:p>
    <w:p w14:paraId="748C1D4A">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收货作业</w:t>
      </w:r>
    </w:p>
    <w:p w14:paraId="2C7056BC">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如何应对收货作业的波动性？</w:t>
      </w:r>
    </w:p>
    <w:p w14:paraId="6DC35A10">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标准化收货作业</w:t>
      </w:r>
    </w:p>
    <w:p w14:paraId="0BB9A87D">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从收货作业谈仓储的标准作业及多能工管理</w:t>
      </w:r>
    </w:p>
    <w:p w14:paraId="4A69B2B1">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收货作业的信息流与物流同步化</w:t>
      </w:r>
    </w:p>
    <w:p w14:paraId="2CF3C5E9">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案例分享：**整车厂的物流标准化</w:t>
      </w:r>
    </w:p>
    <w:p w14:paraId="3C2267FD">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存储作业</w:t>
      </w:r>
    </w:p>
    <w:p w14:paraId="2DBFBDF8">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存储管理是绩效管理的关键所在</w:t>
      </w:r>
    </w:p>
    <w:p w14:paraId="6973C181">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储位指派原则</w:t>
      </w:r>
    </w:p>
    <w:p w14:paraId="6211E589">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案例研讨：亚马逊用了哪些储位指派原则？</w:t>
      </w:r>
    </w:p>
    <w:p w14:paraId="30BD36D2">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进出口统一的储位指派</w:t>
      </w:r>
    </w:p>
    <w:p w14:paraId="7DAF9D7C">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进出口分离的储位指派</w:t>
      </w:r>
    </w:p>
    <w:p w14:paraId="27FB321C">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如何理解BIQS的先进先出要求？</w:t>
      </w:r>
    </w:p>
    <w:p w14:paraId="22E11956">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案例研讨：***工厂线边超市有限空间内如何实施FIFO？</w:t>
      </w:r>
    </w:p>
    <w:p w14:paraId="65205C47">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盘点作业</w:t>
      </w:r>
    </w:p>
    <w:p w14:paraId="5D687AAB">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盘点对仓储业务的意义是什么？</w:t>
      </w:r>
    </w:p>
    <w:p w14:paraId="335DB0DA">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正确的盘点流程：PDCA</w:t>
      </w:r>
    </w:p>
    <w:p w14:paraId="4783F59F">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案例分享：为什么盘不准？</w:t>
      </w:r>
    </w:p>
    <w:p w14:paraId="396B63E4">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两种主要盘点方法的差异：循环盘点与期末盘点</w:t>
      </w:r>
    </w:p>
    <w:p w14:paraId="269D5D5A">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库存准确率与盘点准确率</w:t>
      </w:r>
    </w:p>
    <w:p w14:paraId="2DE6033A">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课堂练习：库存准确率的5种核算指标练习</w:t>
      </w:r>
    </w:p>
    <w:p w14:paraId="26DB67F9">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账实不符的原因有哪些？</w:t>
      </w:r>
    </w:p>
    <w:p w14:paraId="2580A030">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从管理角度进行盘点差异分析</w:t>
      </w:r>
    </w:p>
    <w:p w14:paraId="3F5AEBF2">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课堂练习：运用防错原理解决盘不准的问题</w:t>
      </w:r>
    </w:p>
    <w:p w14:paraId="7FD82B73">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出库作业</w:t>
      </w:r>
    </w:p>
    <w:p w14:paraId="59644C3F">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客户思维：仓储水平集中体现在出库作业上</w:t>
      </w:r>
    </w:p>
    <w:p w14:paraId="503434B9">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拣货两种基本方式：订单拣货&amp;批量拣货</w:t>
      </w:r>
    </w:p>
    <w:p w14:paraId="531D7EEC">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演变出的各类拣取方式</w:t>
      </w:r>
    </w:p>
    <w:p w14:paraId="156FD324">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拣货作业的6不要</w:t>
      </w:r>
    </w:p>
    <w:p w14:paraId="573D3CC0">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地址系统与拣货作业</w:t>
      </w:r>
    </w:p>
    <w:p w14:paraId="3BA874D3">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拣货路径的优化：单边拣货、双边拣货与蛇形拣货</w:t>
      </w:r>
    </w:p>
    <w:p w14:paraId="3FC536E3">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案例研讨：物流中心出库作业的瓶颈改善</w:t>
      </w:r>
    </w:p>
    <w:p w14:paraId="56459E07">
      <w:pPr>
        <w:pStyle w:val="34"/>
        <w:numPr>
          <w:ilvl w:val="0"/>
          <w:numId w:val="2"/>
        </w:numPr>
        <w:adjustRightInd w:val="0"/>
        <w:snapToGrid w:val="0"/>
        <w:spacing w:line="480" w:lineRule="exact"/>
        <w:ind w:left="425" w:hanging="425" w:firstLineChars="0"/>
        <w:rPr>
          <w:rFonts w:ascii="Times New Roman" w:hAnsi="Times New Roman" w:eastAsia="微软雅黑"/>
          <w:b/>
          <w:sz w:val="24"/>
        </w:rPr>
      </w:pPr>
      <w:r>
        <w:rPr>
          <w:rFonts w:ascii="Times New Roman" w:hAnsi="Times New Roman" w:eastAsia="微软雅黑"/>
          <w:b/>
          <w:sz w:val="24"/>
        </w:rPr>
        <w:t>仓储物流的辅助业务管理</w:t>
      </w:r>
    </w:p>
    <w:p w14:paraId="7B8C7D5D">
      <w:pPr>
        <w:pStyle w:val="34"/>
        <w:numPr>
          <w:ilvl w:val="0"/>
          <w:numId w:val="4"/>
        </w:numPr>
        <w:adjustRightInd w:val="0"/>
        <w:snapToGrid w:val="0"/>
        <w:spacing w:line="480" w:lineRule="exact"/>
        <w:ind w:firstLineChars="0"/>
        <w:rPr>
          <w:rFonts w:ascii="Times New Roman" w:hAnsi="Times New Roman" w:eastAsia="微软雅黑"/>
          <w:vanish/>
          <w:sz w:val="22"/>
        </w:rPr>
      </w:pPr>
    </w:p>
    <w:p w14:paraId="7D35C79A">
      <w:pPr>
        <w:pStyle w:val="34"/>
        <w:numPr>
          <w:ilvl w:val="0"/>
          <w:numId w:val="3"/>
        </w:numPr>
        <w:adjustRightInd w:val="0"/>
        <w:snapToGrid w:val="0"/>
        <w:spacing w:line="480" w:lineRule="exact"/>
        <w:ind w:firstLineChars="0"/>
        <w:rPr>
          <w:rFonts w:ascii="Times New Roman" w:hAnsi="Times New Roman" w:eastAsia="微软雅黑"/>
          <w:vanish/>
          <w:sz w:val="22"/>
        </w:rPr>
      </w:pPr>
    </w:p>
    <w:p w14:paraId="0319C61A">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内部物料搬运作业</w:t>
      </w:r>
    </w:p>
    <w:p w14:paraId="5D890C09">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搬运作业改善的意义</w:t>
      </w:r>
    </w:p>
    <w:p w14:paraId="4FE8AF13">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搬运的劳动力改善</w:t>
      </w:r>
    </w:p>
    <w:p w14:paraId="064CB39E">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搬运作业分析的基本思路与对策</w:t>
      </w:r>
    </w:p>
    <w:p w14:paraId="4F4E7057">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灵活性指数的运用</w:t>
      </w:r>
    </w:p>
    <w:p w14:paraId="2F3DC966">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程序流程图的运用</w:t>
      </w:r>
    </w:p>
    <w:p w14:paraId="637D77E4">
      <w:pPr>
        <w:pStyle w:val="34"/>
        <w:numPr>
          <w:ilvl w:val="0"/>
          <w:numId w:val="5"/>
        </w:numPr>
        <w:adjustRightInd w:val="0"/>
        <w:snapToGrid w:val="0"/>
        <w:spacing w:line="480" w:lineRule="exact"/>
        <w:ind w:firstLineChars="0"/>
        <w:rPr>
          <w:rFonts w:ascii="Times New Roman" w:hAnsi="Times New Roman" w:eastAsia="微软雅黑"/>
          <w:u w:val="single"/>
        </w:rPr>
      </w:pPr>
      <w:r>
        <w:rPr>
          <w:rFonts w:ascii="Times New Roman" w:hAnsi="Times New Roman" w:eastAsia="微软雅黑"/>
          <w:u w:val="single"/>
        </w:rPr>
        <w:t>案例分享：运用程序流程图优化搬运</w:t>
      </w:r>
    </w:p>
    <w:p w14:paraId="697C8D88">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物流作业的标准化</w:t>
      </w:r>
    </w:p>
    <w:p w14:paraId="4309BCAF">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物料保管作业</w:t>
      </w:r>
    </w:p>
    <w:p w14:paraId="2FC7A317">
      <w:pPr>
        <w:pStyle w:val="34"/>
        <w:numPr>
          <w:ilvl w:val="2"/>
          <w:numId w:val="3"/>
        </w:numPr>
        <w:adjustRightInd w:val="0"/>
        <w:snapToGrid w:val="0"/>
        <w:spacing w:line="480" w:lineRule="exact"/>
        <w:ind w:left="567" w:firstLineChars="0"/>
        <w:rPr>
          <w:rFonts w:ascii="Times New Roman" w:hAnsi="Times New Roman" w:eastAsia="微软雅黑"/>
        </w:rPr>
      </w:pPr>
      <w:r>
        <w:rPr>
          <w:rFonts w:ascii="Times New Roman" w:hAnsi="Times New Roman" w:eastAsia="微软雅黑"/>
        </w:rPr>
        <w:t>不同仓储业务的保管要求</w:t>
      </w:r>
    </w:p>
    <w:p w14:paraId="72689EF0">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仓储安全管理</w:t>
      </w:r>
    </w:p>
    <w:p w14:paraId="41F3D8AC">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仓储、物流及运输的常用绩效指标</w:t>
      </w:r>
    </w:p>
    <w:p w14:paraId="0C4F753D">
      <w:pPr>
        <w:pStyle w:val="34"/>
        <w:numPr>
          <w:ilvl w:val="1"/>
          <w:numId w:val="3"/>
        </w:numPr>
        <w:adjustRightInd w:val="0"/>
        <w:snapToGrid w:val="0"/>
        <w:spacing w:line="480" w:lineRule="exact"/>
        <w:ind w:left="284" w:firstLineChars="0"/>
        <w:rPr>
          <w:rFonts w:ascii="Times New Roman" w:hAnsi="Times New Roman" w:eastAsia="微软雅黑"/>
        </w:rPr>
      </w:pPr>
      <w:r>
        <w:rPr>
          <w:rFonts w:ascii="Times New Roman" w:hAnsi="Times New Roman" w:eastAsia="微软雅黑"/>
        </w:rPr>
        <w:t>物流信息化基础介绍：WMS、条码、RFID等</w:t>
      </w:r>
    </w:p>
    <w:p w14:paraId="12DC40BA">
      <w:pPr>
        <w:pStyle w:val="34"/>
        <w:numPr>
          <w:ilvl w:val="0"/>
          <w:numId w:val="2"/>
        </w:numPr>
        <w:adjustRightInd w:val="0"/>
        <w:snapToGrid w:val="0"/>
        <w:spacing w:line="480" w:lineRule="exact"/>
        <w:ind w:left="425" w:hanging="425" w:firstLineChars="0"/>
        <w:rPr>
          <w:rFonts w:ascii="Times New Roman" w:hAnsi="Times New Roman" w:eastAsia="微软雅黑"/>
          <w:b/>
          <w:sz w:val="24"/>
        </w:rPr>
      </w:pPr>
      <w:r>
        <w:rPr>
          <w:rFonts w:ascii="Times New Roman" w:hAnsi="Times New Roman" w:eastAsia="微软雅黑"/>
          <w:b/>
          <w:sz w:val="24"/>
        </w:rPr>
        <w:t>课程总结</w:t>
      </w:r>
    </w:p>
    <w:p w14:paraId="2229937F">
      <w:pPr>
        <w:pStyle w:val="34"/>
        <w:numPr>
          <w:ilvl w:val="0"/>
          <w:numId w:val="2"/>
        </w:numPr>
        <w:adjustRightInd w:val="0"/>
        <w:snapToGrid w:val="0"/>
        <w:spacing w:line="480" w:lineRule="exact"/>
        <w:ind w:left="425" w:hanging="425" w:firstLineChars="0"/>
        <w:rPr>
          <w:rFonts w:ascii="Times New Roman" w:hAnsi="Times New Roman" w:eastAsia="微软雅黑"/>
          <w:b/>
          <w:sz w:val="24"/>
        </w:rPr>
      </w:pPr>
      <w:r>
        <w:rPr>
          <w:rFonts w:ascii="Times New Roman" w:hAnsi="Times New Roman" w:eastAsia="微软雅黑"/>
          <w:b/>
          <w:sz w:val="24"/>
        </w:rPr>
        <w:t>Q&amp;A</w:t>
      </w:r>
    </w:p>
    <w:p w14:paraId="66FFB3D1">
      <w:pPr>
        <w:pStyle w:val="35"/>
        <w:adjustRightInd w:val="0"/>
        <w:snapToGrid w:val="0"/>
        <w:spacing w:line="480" w:lineRule="exact"/>
        <w:ind w:firstLine="0" w:firstLineChars="0"/>
        <w:jc w:val="left"/>
        <w:rPr>
          <w:rFonts w:eastAsia="微软雅黑"/>
          <w:b/>
          <w:bCs/>
          <w:sz w:val="24"/>
          <w:szCs w:val="24"/>
          <w:u w:val="single"/>
        </w:rPr>
      </w:pPr>
      <w:r>
        <w:rPr>
          <w:rFonts w:hint="eastAsia" w:eastAsia="微软雅黑"/>
          <w:b/>
          <w:color w:val="C00000"/>
          <w:sz w:val="24"/>
          <w:szCs w:val="24"/>
        </w:rPr>
        <w:t>讲师简介：</w:t>
      </w:r>
      <w:r>
        <w:rPr>
          <w:rFonts w:hint="eastAsia" w:eastAsia="微软雅黑"/>
          <w:b/>
          <w:bCs/>
          <w:sz w:val="24"/>
          <w:szCs w:val="24"/>
        </w:rPr>
        <w:t>陈老师</w:t>
      </w:r>
    </w:p>
    <w:p w14:paraId="21A582F4">
      <w:pPr>
        <w:numPr>
          <w:ilvl w:val="0"/>
          <w:numId w:val="7"/>
        </w:numPr>
        <w:spacing w:line="480" w:lineRule="exact"/>
        <w:rPr>
          <w:rFonts w:eastAsia="微软雅黑"/>
          <w:szCs w:val="21"/>
        </w:rPr>
      </w:pPr>
      <w:r>
        <w:rPr>
          <w:rFonts w:hint="eastAsia" w:eastAsia="微软雅黑"/>
          <w:szCs w:val="21"/>
        </w:rPr>
        <w:t>近</w:t>
      </w:r>
      <w:r>
        <w:rPr>
          <w:rFonts w:eastAsia="微软雅黑"/>
          <w:szCs w:val="21"/>
        </w:rPr>
        <w:t>20</w:t>
      </w:r>
      <w:r>
        <w:rPr>
          <w:rFonts w:hint="eastAsia" w:eastAsia="微软雅黑"/>
          <w:szCs w:val="21"/>
        </w:rPr>
        <w:t>年管理顾问职业经历</w:t>
      </w:r>
    </w:p>
    <w:p w14:paraId="51ED70A1">
      <w:pPr>
        <w:numPr>
          <w:ilvl w:val="0"/>
          <w:numId w:val="8"/>
        </w:numPr>
        <w:spacing w:line="480" w:lineRule="exact"/>
        <w:rPr>
          <w:rFonts w:eastAsia="微软雅黑"/>
          <w:szCs w:val="21"/>
        </w:rPr>
      </w:pPr>
      <w:r>
        <w:rPr>
          <w:rFonts w:hint="eastAsia" w:eastAsia="微软雅黑"/>
          <w:szCs w:val="21"/>
        </w:rPr>
        <w:t>知名外企生产管理工作经历</w:t>
      </w:r>
    </w:p>
    <w:p w14:paraId="352597C0">
      <w:pPr>
        <w:numPr>
          <w:ilvl w:val="0"/>
          <w:numId w:val="8"/>
        </w:numPr>
        <w:spacing w:line="480" w:lineRule="exact"/>
        <w:rPr>
          <w:rFonts w:eastAsia="微软雅黑"/>
          <w:szCs w:val="21"/>
        </w:rPr>
      </w:pPr>
      <w:r>
        <w:rPr>
          <w:rFonts w:hint="eastAsia" w:eastAsia="微软雅黑"/>
          <w:szCs w:val="21"/>
        </w:rPr>
        <w:t>制造业上市企业精益变革管理与运营管理从业经历</w:t>
      </w:r>
    </w:p>
    <w:p w14:paraId="29B17F3F">
      <w:pPr>
        <w:numPr>
          <w:ilvl w:val="0"/>
          <w:numId w:val="8"/>
        </w:numPr>
        <w:spacing w:line="480" w:lineRule="exact"/>
        <w:rPr>
          <w:rFonts w:eastAsia="微软雅黑"/>
          <w:szCs w:val="21"/>
        </w:rPr>
      </w:pPr>
      <w:r>
        <w:rPr>
          <w:rFonts w:eastAsia="微软雅黑"/>
          <w:szCs w:val="21"/>
        </w:rPr>
        <w:t xml:space="preserve">50+ </w:t>
      </w:r>
      <w:r>
        <w:rPr>
          <w:rFonts w:hint="eastAsia" w:eastAsia="微软雅黑"/>
          <w:szCs w:val="21"/>
        </w:rPr>
        <w:t>咨询项目服务经验。主导改善项目涉及：</w:t>
      </w:r>
      <w:r>
        <w:rPr>
          <w:rFonts w:eastAsia="微软雅黑"/>
          <w:szCs w:val="21"/>
        </w:rPr>
        <w:t>5S</w:t>
      </w:r>
      <w:r>
        <w:rPr>
          <w:rFonts w:hint="eastAsia" w:eastAsia="微软雅黑"/>
          <w:szCs w:val="21"/>
        </w:rPr>
        <w:t>与目视化管理、</w:t>
      </w:r>
      <w:r>
        <w:rPr>
          <w:rFonts w:eastAsia="微软雅黑"/>
          <w:szCs w:val="21"/>
        </w:rPr>
        <w:t>TPS</w:t>
      </w:r>
      <w:r>
        <w:rPr>
          <w:rFonts w:hint="eastAsia" w:eastAsia="微软雅黑"/>
          <w:szCs w:val="21"/>
        </w:rPr>
        <w:t>（精益）推进、工厂布局规划、物流中心布局与管理优化</w:t>
      </w:r>
    </w:p>
    <w:p w14:paraId="4BABA0BA">
      <w:pPr>
        <w:numPr>
          <w:ilvl w:val="0"/>
          <w:numId w:val="8"/>
        </w:numPr>
        <w:spacing w:line="480" w:lineRule="exact"/>
        <w:rPr>
          <w:rFonts w:eastAsia="微软雅黑"/>
          <w:szCs w:val="21"/>
        </w:rPr>
      </w:pPr>
      <w:r>
        <w:rPr>
          <w:rFonts w:hint="eastAsia" w:eastAsia="微软雅黑"/>
          <w:szCs w:val="21"/>
        </w:rPr>
        <w:t>由咨询进入培训，善于在风趣的培训过程中融入企业实景案例，通过案例讨论、课题练习、教学游戏、影像视频等教学手法，打破学员旧有观念，促进其深度思考，进而催化解决方案的产生。</w:t>
      </w:r>
    </w:p>
    <w:p w14:paraId="4E1B8D38">
      <w:pPr>
        <w:numPr>
          <w:ilvl w:val="0"/>
          <w:numId w:val="8"/>
        </w:numPr>
        <w:spacing w:line="480" w:lineRule="exact"/>
        <w:rPr>
          <w:rFonts w:eastAsia="微软雅黑"/>
          <w:szCs w:val="21"/>
        </w:rPr>
      </w:pPr>
      <w:r>
        <w:rPr>
          <w:rFonts w:hint="eastAsia" w:eastAsia="微软雅黑"/>
          <w:szCs w:val="21"/>
        </w:rPr>
        <w:t>课程特点：有干货、有实操、有亮点、有深度</w:t>
      </w:r>
    </w:p>
    <w:p w14:paraId="0DDB8104">
      <w:pPr>
        <w:spacing w:line="480" w:lineRule="exact"/>
        <w:rPr>
          <w:rFonts w:eastAsia="微软雅黑"/>
          <w:b/>
          <w:color w:val="C00000"/>
          <w:sz w:val="24"/>
          <w:szCs w:val="24"/>
        </w:rPr>
      </w:pPr>
      <w:r>
        <w:rPr>
          <w:rFonts w:hint="eastAsia" w:eastAsia="微软雅黑"/>
          <w:b/>
          <w:color w:val="C00000"/>
          <w:sz w:val="24"/>
          <w:szCs w:val="24"/>
        </w:rPr>
        <w:t>个人专长：</w:t>
      </w:r>
    </w:p>
    <w:p w14:paraId="4C039467">
      <w:pPr>
        <w:spacing w:line="480" w:lineRule="exact"/>
        <w:rPr>
          <w:rFonts w:eastAsia="微软雅黑"/>
          <w:b/>
          <w:bCs/>
          <w:szCs w:val="21"/>
        </w:rPr>
      </w:pPr>
      <w:r>
        <w:rPr>
          <w:rFonts w:hint="eastAsia" w:eastAsia="微软雅黑"/>
          <w:b/>
          <w:bCs/>
          <w:szCs w:val="21"/>
        </w:rPr>
        <w:t>课程专长</w:t>
      </w:r>
    </w:p>
    <w:p w14:paraId="3A4AA3FB">
      <w:pPr>
        <w:numPr>
          <w:ilvl w:val="0"/>
          <w:numId w:val="8"/>
        </w:numPr>
        <w:spacing w:line="480" w:lineRule="exact"/>
        <w:rPr>
          <w:rFonts w:eastAsia="微软雅黑"/>
          <w:szCs w:val="21"/>
        </w:rPr>
      </w:pPr>
      <w:r>
        <w:rPr>
          <w:rFonts w:hint="eastAsia" w:eastAsia="微软雅黑"/>
          <w:szCs w:val="21"/>
        </w:rPr>
        <w:t>卓越主管能力训练</w:t>
      </w:r>
    </w:p>
    <w:p w14:paraId="7A2CA84E">
      <w:pPr>
        <w:numPr>
          <w:ilvl w:val="0"/>
          <w:numId w:val="8"/>
        </w:numPr>
        <w:spacing w:line="480" w:lineRule="exact"/>
        <w:rPr>
          <w:rFonts w:eastAsia="微软雅黑"/>
          <w:szCs w:val="21"/>
        </w:rPr>
      </w:pPr>
      <w:r>
        <w:rPr>
          <w:rFonts w:hint="eastAsia" w:eastAsia="微软雅黑"/>
          <w:szCs w:val="21"/>
        </w:rPr>
        <w:t>金牌班组长全技能提升</w:t>
      </w:r>
    </w:p>
    <w:p w14:paraId="1DAB4877">
      <w:pPr>
        <w:numPr>
          <w:ilvl w:val="0"/>
          <w:numId w:val="8"/>
        </w:numPr>
        <w:spacing w:line="480" w:lineRule="exact"/>
        <w:rPr>
          <w:rFonts w:eastAsia="微软雅黑"/>
          <w:szCs w:val="21"/>
        </w:rPr>
      </w:pPr>
      <w:r>
        <w:rPr>
          <w:rFonts w:hint="eastAsia" w:eastAsia="微软雅黑"/>
          <w:szCs w:val="21"/>
        </w:rPr>
        <w:t>仓储物流管理实务</w:t>
      </w:r>
    </w:p>
    <w:p w14:paraId="0F06690B">
      <w:pPr>
        <w:numPr>
          <w:ilvl w:val="0"/>
          <w:numId w:val="8"/>
        </w:numPr>
        <w:spacing w:line="480" w:lineRule="exact"/>
        <w:rPr>
          <w:rFonts w:eastAsia="微软雅黑"/>
          <w:szCs w:val="21"/>
        </w:rPr>
      </w:pPr>
      <w:r>
        <w:rPr>
          <w:rFonts w:eastAsia="微软雅黑"/>
          <w:szCs w:val="21"/>
        </w:rPr>
        <w:t>IE</w:t>
      </w:r>
      <w:r>
        <w:rPr>
          <w:rFonts w:hint="eastAsia" w:eastAsia="微软雅黑"/>
          <w:szCs w:val="21"/>
        </w:rPr>
        <w:t>分析与改善实务</w:t>
      </w:r>
    </w:p>
    <w:p w14:paraId="4FF8476E">
      <w:pPr>
        <w:numPr>
          <w:ilvl w:val="0"/>
          <w:numId w:val="8"/>
        </w:numPr>
        <w:spacing w:line="480" w:lineRule="exact"/>
        <w:rPr>
          <w:rFonts w:eastAsia="微软雅黑"/>
          <w:szCs w:val="21"/>
        </w:rPr>
      </w:pPr>
      <w:r>
        <w:rPr>
          <w:rFonts w:hint="eastAsia" w:eastAsia="微软雅黑"/>
          <w:szCs w:val="21"/>
        </w:rPr>
        <w:t>精益降本改善实务</w:t>
      </w:r>
    </w:p>
    <w:p w14:paraId="6D12B857">
      <w:pPr>
        <w:numPr>
          <w:ilvl w:val="0"/>
          <w:numId w:val="8"/>
        </w:numPr>
        <w:spacing w:line="480" w:lineRule="exact"/>
        <w:rPr>
          <w:rFonts w:eastAsia="微软雅黑"/>
          <w:szCs w:val="21"/>
        </w:rPr>
      </w:pPr>
      <w:r>
        <w:rPr>
          <w:rFonts w:hint="eastAsia" w:eastAsia="微软雅黑"/>
          <w:szCs w:val="21"/>
        </w:rPr>
        <w:t>现场精细化管理改善</w:t>
      </w:r>
    </w:p>
    <w:p w14:paraId="0424A328">
      <w:pPr>
        <w:numPr>
          <w:ilvl w:val="0"/>
          <w:numId w:val="8"/>
        </w:numPr>
        <w:spacing w:line="480" w:lineRule="exact"/>
        <w:rPr>
          <w:rFonts w:eastAsia="微软雅黑"/>
          <w:szCs w:val="21"/>
        </w:rPr>
      </w:pPr>
      <w:r>
        <w:rPr>
          <w:rFonts w:hint="eastAsia" w:eastAsia="微软雅黑"/>
          <w:szCs w:val="21"/>
        </w:rPr>
        <w:t>精益工厂布局与生产线设计</w:t>
      </w:r>
    </w:p>
    <w:p w14:paraId="5356FF0C">
      <w:pPr>
        <w:numPr>
          <w:ilvl w:val="0"/>
          <w:numId w:val="8"/>
        </w:numPr>
        <w:spacing w:line="480" w:lineRule="exact"/>
        <w:rPr>
          <w:rFonts w:eastAsia="微软雅黑"/>
          <w:szCs w:val="21"/>
        </w:rPr>
      </w:pPr>
      <w:r>
        <w:rPr>
          <w:rFonts w:hint="eastAsia" w:eastAsia="微软雅黑"/>
          <w:szCs w:val="21"/>
        </w:rPr>
        <w:t>价值流分析与改善（</w:t>
      </w:r>
      <w:r>
        <w:rPr>
          <w:rFonts w:eastAsia="微软雅黑"/>
          <w:szCs w:val="21"/>
        </w:rPr>
        <w:t>VSM</w:t>
      </w:r>
      <w:r>
        <w:rPr>
          <w:rFonts w:hint="eastAsia" w:eastAsia="微软雅黑"/>
          <w:szCs w:val="21"/>
        </w:rPr>
        <w:t>）</w:t>
      </w:r>
    </w:p>
    <w:p w14:paraId="42E450C3">
      <w:pPr>
        <w:numPr>
          <w:ilvl w:val="0"/>
          <w:numId w:val="8"/>
        </w:numPr>
        <w:spacing w:line="480" w:lineRule="exact"/>
        <w:rPr>
          <w:rFonts w:eastAsia="微软雅黑"/>
          <w:szCs w:val="21"/>
        </w:rPr>
      </w:pPr>
      <w:r>
        <w:rPr>
          <w:rFonts w:hint="eastAsia" w:eastAsia="微软雅黑"/>
          <w:szCs w:val="21"/>
        </w:rPr>
        <w:t>系列定制课程：</w:t>
      </w:r>
      <w:r>
        <w:rPr>
          <w:rFonts w:eastAsia="微软雅黑"/>
          <w:szCs w:val="21"/>
        </w:rPr>
        <w:t>SMED</w:t>
      </w:r>
      <w:r>
        <w:rPr>
          <w:rFonts w:hint="eastAsia" w:eastAsia="微软雅黑"/>
          <w:szCs w:val="21"/>
        </w:rPr>
        <w:t>、</w:t>
      </w:r>
      <w:r>
        <w:rPr>
          <w:rFonts w:eastAsia="微软雅黑"/>
          <w:szCs w:val="21"/>
        </w:rPr>
        <w:t>POKAYOKE</w:t>
      </w:r>
      <w:r>
        <w:rPr>
          <w:rFonts w:hint="eastAsia" w:eastAsia="微软雅黑"/>
          <w:szCs w:val="21"/>
        </w:rPr>
        <w:t>、</w:t>
      </w:r>
      <w:r>
        <w:rPr>
          <w:rFonts w:eastAsia="微软雅黑"/>
          <w:szCs w:val="21"/>
        </w:rPr>
        <w:t>SOP</w:t>
      </w:r>
      <w:r>
        <w:rPr>
          <w:rFonts w:hint="eastAsia" w:eastAsia="微软雅黑"/>
          <w:szCs w:val="21"/>
        </w:rPr>
        <w:t>……</w:t>
      </w:r>
    </w:p>
    <w:p w14:paraId="23A67A50">
      <w:pPr>
        <w:spacing w:line="480" w:lineRule="exact"/>
        <w:rPr>
          <w:rFonts w:eastAsia="微软雅黑"/>
          <w:b/>
          <w:bCs/>
          <w:szCs w:val="21"/>
        </w:rPr>
      </w:pPr>
      <w:r>
        <w:rPr>
          <w:rFonts w:hint="eastAsia" w:eastAsia="微软雅黑"/>
          <w:b/>
          <w:bCs/>
          <w:szCs w:val="21"/>
        </w:rPr>
        <w:t>项目专长</w:t>
      </w:r>
    </w:p>
    <w:p w14:paraId="7CA47ADE">
      <w:pPr>
        <w:numPr>
          <w:ilvl w:val="0"/>
          <w:numId w:val="8"/>
        </w:numPr>
        <w:spacing w:line="480" w:lineRule="exact"/>
        <w:rPr>
          <w:rFonts w:eastAsia="微软雅黑"/>
          <w:szCs w:val="21"/>
        </w:rPr>
      </w:pPr>
      <w:r>
        <w:rPr>
          <w:rFonts w:eastAsia="微软雅黑"/>
          <w:szCs w:val="21"/>
        </w:rPr>
        <w:t>5S</w:t>
      </w:r>
      <w:r>
        <w:rPr>
          <w:rFonts w:hint="eastAsia" w:eastAsia="微软雅黑"/>
          <w:szCs w:val="21"/>
        </w:rPr>
        <w:t>与目视管理</w:t>
      </w:r>
    </w:p>
    <w:p w14:paraId="5502098F">
      <w:pPr>
        <w:numPr>
          <w:ilvl w:val="0"/>
          <w:numId w:val="8"/>
        </w:numPr>
        <w:spacing w:line="480" w:lineRule="exact"/>
        <w:rPr>
          <w:rFonts w:eastAsia="微软雅黑"/>
          <w:szCs w:val="21"/>
        </w:rPr>
      </w:pPr>
      <w:r>
        <w:rPr>
          <w:rFonts w:hint="eastAsia" w:eastAsia="微软雅黑"/>
          <w:szCs w:val="21"/>
        </w:rPr>
        <w:t>生产绩效提升</w:t>
      </w:r>
    </w:p>
    <w:p w14:paraId="20702CB3">
      <w:pPr>
        <w:numPr>
          <w:ilvl w:val="0"/>
          <w:numId w:val="8"/>
        </w:numPr>
        <w:spacing w:line="480" w:lineRule="exact"/>
        <w:rPr>
          <w:rFonts w:eastAsia="微软雅黑"/>
          <w:szCs w:val="21"/>
        </w:rPr>
      </w:pPr>
      <w:r>
        <w:rPr>
          <w:rFonts w:hint="eastAsia" w:eastAsia="微软雅黑"/>
          <w:szCs w:val="21"/>
        </w:rPr>
        <w:t>仓储配送中心改善</w:t>
      </w:r>
    </w:p>
    <w:p w14:paraId="74D54706">
      <w:pPr>
        <w:numPr>
          <w:ilvl w:val="0"/>
          <w:numId w:val="8"/>
        </w:numPr>
        <w:spacing w:line="480" w:lineRule="exact"/>
        <w:rPr>
          <w:rFonts w:eastAsia="微软雅黑"/>
          <w:szCs w:val="21"/>
        </w:rPr>
      </w:pPr>
      <w:r>
        <w:rPr>
          <w:rFonts w:hint="eastAsia" w:eastAsia="微软雅黑"/>
          <w:szCs w:val="21"/>
        </w:rPr>
        <w:t>配送中心布局规划</w:t>
      </w:r>
    </w:p>
    <w:p w14:paraId="781C1605">
      <w:pPr>
        <w:numPr>
          <w:ilvl w:val="0"/>
          <w:numId w:val="8"/>
        </w:numPr>
        <w:spacing w:line="480" w:lineRule="exact"/>
        <w:rPr>
          <w:rFonts w:eastAsia="微软雅黑"/>
          <w:szCs w:val="21"/>
        </w:rPr>
      </w:pPr>
      <w:r>
        <w:rPr>
          <w:rFonts w:hint="eastAsia" w:eastAsia="微软雅黑"/>
          <w:szCs w:val="21"/>
        </w:rPr>
        <w:t>精益标杆线设计</w:t>
      </w:r>
    </w:p>
    <w:p w14:paraId="6C57B5F2">
      <w:pPr>
        <w:numPr>
          <w:ilvl w:val="0"/>
          <w:numId w:val="8"/>
        </w:numPr>
        <w:spacing w:line="480" w:lineRule="exact"/>
        <w:rPr>
          <w:rFonts w:eastAsia="微软雅黑"/>
          <w:szCs w:val="21"/>
        </w:rPr>
      </w:pPr>
      <w:r>
        <w:rPr>
          <w:rFonts w:hint="eastAsia" w:eastAsia="微软雅黑"/>
          <w:szCs w:val="21"/>
        </w:rPr>
        <w:t>工厂精益布局规划</w:t>
      </w:r>
    </w:p>
    <w:p w14:paraId="50974444">
      <w:pPr>
        <w:spacing w:line="480" w:lineRule="exact"/>
        <w:rPr>
          <w:rFonts w:eastAsia="微软雅黑"/>
          <w:b/>
          <w:color w:val="C00000"/>
          <w:sz w:val="24"/>
          <w:szCs w:val="24"/>
        </w:rPr>
      </w:pPr>
      <w:r>
        <w:rPr>
          <w:rFonts w:hint="eastAsia" w:eastAsia="微软雅黑"/>
          <w:b/>
          <w:color w:val="C00000"/>
          <w:sz w:val="24"/>
          <w:szCs w:val="24"/>
        </w:rPr>
        <w:t>学员评价：</w:t>
      </w:r>
    </w:p>
    <w:p w14:paraId="63E458FB">
      <w:pPr>
        <w:spacing w:line="480" w:lineRule="exact"/>
        <w:rPr>
          <w:rFonts w:eastAsia="微软雅黑"/>
          <w:szCs w:val="21"/>
        </w:rPr>
      </w:pPr>
      <w:r>
        <w:rPr>
          <w:rFonts w:hint="eastAsia" w:eastAsia="微软雅黑"/>
          <w:szCs w:val="21"/>
        </w:rPr>
        <w:t>老师与学员沟通及时，讲解生动，对于感兴趣的点讲解得非常详细，案例充分融入了学习要点。</w:t>
      </w:r>
    </w:p>
    <w:p w14:paraId="64E591FA">
      <w:pPr>
        <w:spacing w:line="480" w:lineRule="exact"/>
        <w:ind w:left="360"/>
        <w:jc w:val="right"/>
        <w:rPr>
          <w:rFonts w:eastAsia="微软雅黑"/>
          <w:szCs w:val="21"/>
        </w:rPr>
      </w:pPr>
      <w:r>
        <w:rPr>
          <w:rFonts w:hint="eastAsia" w:eastAsia="微软雅黑"/>
          <w:szCs w:val="21"/>
        </w:rPr>
        <w:t>——徐工集团学员反馈</w:t>
      </w:r>
    </w:p>
    <w:p w14:paraId="51C62990">
      <w:pPr>
        <w:spacing w:line="480" w:lineRule="exact"/>
        <w:rPr>
          <w:rFonts w:eastAsia="微软雅黑"/>
          <w:szCs w:val="21"/>
        </w:rPr>
      </w:pPr>
      <w:r>
        <w:rPr>
          <w:rFonts w:hint="eastAsia" w:eastAsia="微软雅黑"/>
          <w:szCs w:val="21"/>
        </w:rPr>
        <w:t>生活和工作当中很少能遇到像陈老师这样尽心尽力的老师了</w:t>
      </w:r>
      <w:r>
        <w:rPr>
          <w:rFonts w:eastAsia="微软雅黑"/>
          <w:szCs w:val="21"/>
        </w:rPr>
        <w:t>!</w:t>
      </w:r>
    </w:p>
    <w:p w14:paraId="7C7E73C6">
      <w:pPr>
        <w:spacing w:line="480" w:lineRule="exact"/>
        <w:ind w:left="360"/>
        <w:jc w:val="right"/>
        <w:rPr>
          <w:rFonts w:eastAsia="微软雅黑"/>
          <w:szCs w:val="21"/>
        </w:rPr>
      </w:pPr>
      <w:r>
        <w:rPr>
          <w:rFonts w:hint="eastAsia" w:eastAsia="微软雅黑"/>
          <w:szCs w:val="21"/>
        </w:rPr>
        <w:t>——上海自润轴承学员反馈</w:t>
      </w:r>
    </w:p>
    <w:p w14:paraId="51A10888">
      <w:pPr>
        <w:spacing w:line="480" w:lineRule="exact"/>
        <w:rPr>
          <w:rFonts w:eastAsia="微软雅黑"/>
          <w:szCs w:val="21"/>
        </w:rPr>
      </w:pPr>
      <w:r>
        <w:rPr>
          <w:rFonts w:hint="eastAsia" w:eastAsia="微软雅黑"/>
          <w:szCs w:val="21"/>
        </w:rPr>
        <w:t>课程案例和实际管理工作很类似，让我重新认识了管理工作的本质，拓宽了知识面，学到不少有用的原理和工具。</w:t>
      </w:r>
    </w:p>
    <w:p w14:paraId="27AF39AC">
      <w:pPr>
        <w:spacing w:line="480" w:lineRule="exact"/>
        <w:ind w:left="360"/>
        <w:jc w:val="right"/>
        <w:rPr>
          <w:rFonts w:eastAsia="微软雅黑"/>
          <w:szCs w:val="21"/>
        </w:rPr>
      </w:pPr>
      <w:r>
        <w:rPr>
          <w:rFonts w:hint="eastAsia" w:eastAsia="微软雅黑"/>
          <w:szCs w:val="21"/>
        </w:rPr>
        <w:t>——株洲中车学员反馈</w:t>
      </w:r>
    </w:p>
    <w:p w14:paraId="1562E744">
      <w:pPr>
        <w:spacing w:line="480" w:lineRule="exact"/>
        <w:rPr>
          <w:rFonts w:eastAsia="微软雅黑"/>
          <w:szCs w:val="21"/>
        </w:rPr>
      </w:pPr>
      <w:r>
        <w:rPr>
          <w:rFonts w:hint="eastAsia" w:eastAsia="微软雅黑"/>
          <w:szCs w:val="21"/>
        </w:rPr>
        <w:t>讲解详细，清晰，课程中间会穿插一些经典案例，有助于加深学习印象！</w:t>
      </w:r>
    </w:p>
    <w:p w14:paraId="52AD0DCA">
      <w:pPr>
        <w:spacing w:line="480" w:lineRule="exact"/>
        <w:ind w:left="360"/>
        <w:jc w:val="right"/>
        <w:rPr>
          <w:rFonts w:eastAsia="微软雅黑"/>
          <w:szCs w:val="21"/>
        </w:rPr>
      </w:pPr>
      <w:r>
        <w:rPr>
          <w:rFonts w:hint="eastAsia" w:eastAsia="微软雅黑"/>
          <w:szCs w:val="21"/>
        </w:rPr>
        <w:t>——松下集团学员反馈</w:t>
      </w:r>
    </w:p>
    <w:p w14:paraId="34258B66">
      <w:pPr>
        <w:spacing w:line="480" w:lineRule="exact"/>
        <w:rPr>
          <w:rFonts w:eastAsia="微软雅黑"/>
          <w:szCs w:val="21"/>
        </w:rPr>
      </w:pPr>
      <w:r>
        <w:rPr>
          <w:rFonts w:hint="eastAsia" w:eastAsia="微软雅黑"/>
          <w:szCs w:val="21"/>
        </w:rPr>
        <w:t>讲解内容丰富，举了很多接地气的例子，代入感很强。</w:t>
      </w:r>
    </w:p>
    <w:p w14:paraId="0848DBD4">
      <w:pPr>
        <w:spacing w:line="480" w:lineRule="exact"/>
        <w:ind w:left="360"/>
        <w:jc w:val="right"/>
        <w:rPr>
          <w:rFonts w:eastAsia="微软雅黑"/>
          <w:szCs w:val="21"/>
        </w:rPr>
      </w:pPr>
      <w:r>
        <w:rPr>
          <w:rFonts w:hint="eastAsia" w:eastAsia="微软雅黑"/>
          <w:szCs w:val="21"/>
        </w:rPr>
        <w:t>——西门子数控学员反馈</w:t>
      </w:r>
    </w:p>
    <w:p w14:paraId="54E70CA6">
      <w:pPr>
        <w:spacing w:line="480" w:lineRule="exact"/>
        <w:rPr>
          <w:rFonts w:eastAsia="微软雅黑"/>
          <w:b/>
          <w:color w:val="C00000"/>
          <w:sz w:val="24"/>
          <w:szCs w:val="24"/>
        </w:rPr>
      </w:pPr>
      <w:r>
        <w:rPr>
          <w:rFonts w:hint="eastAsia" w:eastAsia="微软雅黑"/>
          <w:b/>
          <w:color w:val="C00000"/>
          <w:sz w:val="24"/>
          <w:szCs w:val="24"/>
        </w:rPr>
        <w:t>项目个案Ⅰ：</w:t>
      </w:r>
    </w:p>
    <w:p w14:paraId="09D929A2">
      <w:pPr>
        <w:spacing w:line="480" w:lineRule="exact"/>
        <w:rPr>
          <w:rFonts w:eastAsia="微软雅黑"/>
          <w:b/>
          <w:color w:val="130700"/>
        </w:rPr>
      </w:pPr>
      <w:r>
        <w:rPr>
          <w:rFonts w:hint="eastAsia" w:eastAsia="微软雅黑"/>
          <w:b/>
          <w:color w:val="130700"/>
        </w:rPr>
        <w:t>案例一：上海某日化生产知名企业</w:t>
      </w:r>
      <w:r>
        <w:rPr>
          <w:rFonts w:eastAsia="微软雅黑"/>
          <w:b/>
          <w:color w:val="130700"/>
        </w:rPr>
        <w:t>5S</w:t>
      </w:r>
      <w:r>
        <w:rPr>
          <w:rFonts w:hint="eastAsia" w:eastAsia="微软雅黑"/>
          <w:b/>
          <w:color w:val="130700"/>
        </w:rPr>
        <w:t>改善项目（周期</w:t>
      </w:r>
      <w:r>
        <w:rPr>
          <w:rFonts w:eastAsia="微软雅黑"/>
          <w:b/>
          <w:color w:val="130700"/>
        </w:rPr>
        <w:t>6</w:t>
      </w:r>
      <w:r>
        <w:rPr>
          <w:rFonts w:hint="eastAsia" w:eastAsia="微软雅黑"/>
          <w:b/>
          <w:color w:val="130700"/>
        </w:rPr>
        <w:t>个月）</w:t>
      </w:r>
    </w:p>
    <w:p w14:paraId="502171E9">
      <w:pPr>
        <w:spacing w:line="480" w:lineRule="exact"/>
        <w:rPr>
          <w:rFonts w:eastAsia="微软雅黑"/>
          <w:b/>
          <w:color w:val="130700"/>
        </w:rPr>
      </w:pPr>
      <w:r>
        <w:rPr>
          <w:rFonts w:hint="eastAsia" w:eastAsia="微软雅黑"/>
          <w:b/>
          <w:color w:val="130700"/>
        </w:rPr>
        <w:t>项目背景：</w:t>
      </w:r>
    </w:p>
    <w:p w14:paraId="7B2F97C3">
      <w:pPr>
        <w:spacing w:line="480" w:lineRule="exact"/>
        <w:rPr>
          <w:rFonts w:eastAsia="微软雅黑"/>
          <w:color w:val="130700"/>
        </w:rPr>
      </w:pPr>
      <w:r>
        <w:rPr>
          <w:rFonts w:hint="eastAsia" w:eastAsia="微软雅黑"/>
          <w:color w:val="130700"/>
        </w:rPr>
        <w:t>该公司响应美国总部要求开始筹划</w:t>
      </w:r>
      <w:r>
        <w:rPr>
          <w:rFonts w:eastAsia="微软雅黑"/>
          <w:color w:val="130700"/>
        </w:rPr>
        <w:t>5S</w:t>
      </w:r>
      <w:r>
        <w:rPr>
          <w:rFonts w:hint="eastAsia" w:eastAsia="微软雅黑"/>
          <w:color w:val="130700"/>
        </w:rPr>
        <w:t>项目推进。通过沟通，公司高层希望并认可我们能够通过</w:t>
      </w:r>
      <w:r>
        <w:rPr>
          <w:rFonts w:eastAsia="微软雅黑"/>
          <w:color w:val="130700"/>
        </w:rPr>
        <w:t>5S</w:t>
      </w:r>
      <w:r>
        <w:rPr>
          <w:rFonts w:hint="eastAsia" w:eastAsia="微软雅黑"/>
          <w:color w:val="130700"/>
        </w:rPr>
        <w:t>项目，从“形式化”到“行事化”提升员工行为的转变过程；希望在项目过程中通过团队与团队的竞争形成现场新标准和基础管理上的共同语言，促进认知水平的提高，改善现场流程与环境。希望项目能为公司推行</w:t>
      </w:r>
      <w:r>
        <w:rPr>
          <w:rFonts w:eastAsia="微软雅黑"/>
          <w:color w:val="130700"/>
        </w:rPr>
        <w:t>LEAN</w:t>
      </w:r>
      <w:r>
        <w:rPr>
          <w:rFonts w:hint="eastAsia" w:eastAsia="微软雅黑"/>
          <w:color w:val="130700"/>
        </w:rPr>
        <w:t>的远景规划奠定基础，从而推动精益工厂的建设。</w:t>
      </w:r>
    </w:p>
    <w:p w14:paraId="4B021879">
      <w:pPr>
        <w:spacing w:line="480" w:lineRule="exact"/>
        <w:rPr>
          <w:rFonts w:eastAsia="微软雅黑"/>
          <w:b/>
          <w:color w:val="130700"/>
        </w:rPr>
      </w:pPr>
      <w:r>
        <w:rPr>
          <w:rFonts w:hint="eastAsia" w:eastAsia="微软雅黑"/>
          <w:b/>
          <w:color w:val="130700"/>
        </w:rPr>
        <w:t>项目成就：</w:t>
      </w:r>
    </w:p>
    <w:p w14:paraId="12948FEC">
      <w:pPr>
        <w:spacing w:line="480" w:lineRule="exact"/>
        <w:rPr>
          <w:rFonts w:eastAsia="微软雅黑"/>
          <w:color w:val="130700"/>
        </w:rPr>
      </w:pPr>
      <w:r>
        <w:rPr>
          <w:rFonts w:hint="eastAsia" w:eastAsia="微软雅黑"/>
          <w:color w:val="130700"/>
        </w:rPr>
        <w:t>项目完全按期完成，项目组成员获得升职和海外培养机会。</w:t>
      </w:r>
    </w:p>
    <w:p w14:paraId="52F1CB13">
      <w:pPr>
        <w:spacing w:line="480" w:lineRule="exact"/>
        <w:rPr>
          <w:rFonts w:eastAsia="微软雅黑"/>
          <w:color w:val="130700"/>
        </w:rPr>
      </w:pPr>
      <w:r>
        <w:rPr>
          <w:rFonts w:hint="eastAsia" w:eastAsia="微软雅黑"/>
          <w:color w:val="130700"/>
        </w:rPr>
        <w:t>项目质量获得客户方美国总部认可。</w:t>
      </w:r>
    </w:p>
    <w:p w14:paraId="682C95BD">
      <w:pPr>
        <w:spacing w:line="480" w:lineRule="exact"/>
        <w:rPr>
          <w:rFonts w:eastAsia="微软雅黑"/>
          <w:color w:val="130700"/>
        </w:rPr>
      </w:pPr>
      <w:r>
        <w:rPr>
          <w:rFonts w:hint="eastAsia" w:eastAsia="微软雅黑"/>
          <w:color w:val="130700"/>
        </w:rPr>
        <w:t>与项目组成员建立了良好的交流合作关系，多次带领客户前往参观，该公司已经在</w:t>
      </w:r>
      <w:r>
        <w:rPr>
          <w:rFonts w:eastAsia="微软雅黑"/>
          <w:color w:val="130700"/>
        </w:rPr>
        <w:t>5S</w:t>
      </w:r>
      <w:r>
        <w:rPr>
          <w:rFonts w:hint="eastAsia" w:eastAsia="微软雅黑"/>
          <w:color w:val="130700"/>
        </w:rPr>
        <w:t>基础上顺利推进精益生产。</w:t>
      </w:r>
    </w:p>
    <w:p w14:paraId="7E97C45E">
      <w:pPr>
        <w:spacing w:line="480" w:lineRule="exact"/>
        <w:rPr>
          <w:rFonts w:eastAsia="微软雅黑"/>
          <w:b/>
          <w:color w:val="C00000"/>
          <w:sz w:val="24"/>
          <w:szCs w:val="24"/>
        </w:rPr>
      </w:pPr>
      <w:r>
        <w:rPr>
          <w:rFonts w:hint="eastAsia" w:eastAsia="微软雅黑"/>
          <w:b/>
          <w:color w:val="C00000"/>
          <w:sz w:val="24"/>
          <w:szCs w:val="24"/>
        </w:rPr>
        <w:t>项目个案Ⅱ：</w:t>
      </w:r>
    </w:p>
    <w:p w14:paraId="4ED94805">
      <w:pPr>
        <w:spacing w:line="480" w:lineRule="exact"/>
        <w:rPr>
          <w:rFonts w:eastAsia="微软雅黑"/>
          <w:b/>
          <w:color w:val="130700"/>
        </w:rPr>
      </w:pPr>
      <w:r>
        <w:rPr>
          <w:rFonts w:hint="eastAsia" w:eastAsia="微软雅黑"/>
          <w:b/>
          <w:color w:val="130700"/>
        </w:rPr>
        <w:t>案例二：某国企新型建材生产企业仓储改善项目（周期</w:t>
      </w:r>
      <w:r>
        <w:rPr>
          <w:rFonts w:eastAsia="微软雅黑"/>
          <w:b/>
          <w:color w:val="130700"/>
        </w:rPr>
        <w:t>5</w:t>
      </w:r>
      <w:r>
        <w:rPr>
          <w:rFonts w:hint="eastAsia" w:eastAsia="微软雅黑"/>
          <w:b/>
          <w:color w:val="130700"/>
        </w:rPr>
        <w:t>个月）</w:t>
      </w:r>
    </w:p>
    <w:p w14:paraId="54EBC52A">
      <w:pPr>
        <w:spacing w:line="480" w:lineRule="exact"/>
        <w:rPr>
          <w:rFonts w:eastAsia="微软雅黑"/>
          <w:b/>
          <w:color w:val="130700"/>
        </w:rPr>
      </w:pPr>
      <w:r>
        <w:rPr>
          <w:rFonts w:hint="eastAsia" w:eastAsia="微软雅黑"/>
          <w:b/>
          <w:color w:val="130700"/>
        </w:rPr>
        <w:t>项目背景：</w:t>
      </w:r>
    </w:p>
    <w:p w14:paraId="3E7E8E0F">
      <w:pPr>
        <w:spacing w:line="480" w:lineRule="exact"/>
        <w:rPr>
          <w:rFonts w:eastAsia="微软雅黑"/>
          <w:color w:val="130700"/>
        </w:rPr>
      </w:pPr>
      <w:r>
        <w:rPr>
          <w:rFonts w:hint="eastAsia" w:eastAsia="微软雅黑"/>
          <w:color w:val="130700"/>
        </w:rPr>
        <w:t>作为国有企业，公司在运营过程中发现仓储库存准确率的不足影响到了公司资产管理，其中尤以备品备件库为甚。公司高层希望能够通过仓储管理的系统性优化提高仓储管理，改善库存准确率水平并提升仓储物流效率。项目通过仓储功能区及布局调整、进出存盘等管理制度的修订、呆滞库存分析、物料编码规则的优化、储位标识改善、现场目视化水平提升等手段，历时</w:t>
      </w:r>
      <w:r>
        <w:rPr>
          <w:rFonts w:eastAsia="微软雅黑"/>
          <w:color w:val="130700"/>
        </w:rPr>
        <w:t>5</w:t>
      </w:r>
      <w:r>
        <w:rPr>
          <w:rFonts w:hint="eastAsia" w:eastAsia="微软雅黑"/>
          <w:color w:val="130700"/>
        </w:rPr>
        <w:t>个月达成项目目标。</w:t>
      </w:r>
    </w:p>
    <w:p w14:paraId="36144474">
      <w:pPr>
        <w:spacing w:line="480" w:lineRule="exact"/>
        <w:rPr>
          <w:rFonts w:eastAsia="微软雅黑"/>
          <w:b/>
          <w:color w:val="130700"/>
        </w:rPr>
      </w:pPr>
      <w:r>
        <w:rPr>
          <w:rFonts w:hint="eastAsia" w:eastAsia="微软雅黑"/>
          <w:b/>
          <w:color w:val="130700"/>
        </w:rPr>
        <w:t>项目成就：</w:t>
      </w:r>
    </w:p>
    <w:p w14:paraId="7B9B7B79">
      <w:pPr>
        <w:spacing w:line="480" w:lineRule="exact"/>
        <w:rPr>
          <w:rFonts w:eastAsia="微软雅黑"/>
          <w:color w:val="130700"/>
        </w:rPr>
      </w:pPr>
      <w:r>
        <w:rPr>
          <w:rFonts w:hint="eastAsia" w:eastAsia="微软雅黑"/>
          <w:color w:val="130700"/>
        </w:rPr>
        <w:t>精简物料编码</w:t>
      </w:r>
      <w:r>
        <w:rPr>
          <w:rFonts w:eastAsia="微软雅黑"/>
          <w:color w:val="130700"/>
        </w:rPr>
        <w:t>60.9%</w:t>
      </w:r>
      <w:r>
        <w:rPr>
          <w:rFonts w:hint="eastAsia" w:eastAsia="微软雅黑"/>
          <w:color w:val="130700"/>
        </w:rPr>
        <w:t>，改善物料编码管理，使其符合唯一性原则。</w:t>
      </w:r>
    </w:p>
    <w:p w14:paraId="08343EFE">
      <w:pPr>
        <w:spacing w:line="480" w:lineRule="exact"/>
        <w:rPr>
          <w:rFonts w:eastAsia="微软雅黑"/>
          <w:color w:val="130700"/>
        </w:rPr>
      </w:pPr>
      <w:r>
        <w:rPr>
          <w:rFonts w:hint="eastAsia" w:eastAsia="微软雅黑"/>
          <w:color w:val="130700"/>
        </w:rPr>
        <w:t>通过盘点制度的优化及循环盘点手法的运用，改善盘点准确率及盘点效率。</w:t>
      </w:r>
    </w:p>
    <w:p w14:paraId="31BE5665">
      <w:pPr>
        <w:spacing w:line="480" w:lineRule="exact"/>
        <w:rPr>
          <w:rFonts w:eastAsia="微软雅黑"/>
          <w:color w:val="130700"/>
        </w:rPr>
      </w:pPr>
      <w:r>
        <w:rPr>
          <w:rFonts w:hint="eastAsia" w:eastAsia="微软雅黑"/>
          <w:color w:val="130700"/>
        </w:rPr>
        <w:t>挖掘并修复仓储管理漏洞，从而进一步促进库存准确率的提升。</w:t>
      </w:r>
    </w:p>
    <w:p w14:paraId="2B52C681">
      <w:pPr>
        <w:spacing w:line="480" w:lineRule="exact"/>
        <w:rPr>
          <w:rFonts w:eastAsia="微软雅黑"/>
          <w:b/>
          <w:color w:val="C00000"/>
          <w:sz w:val="24"/>
          <w:szCs w:val="24"/>
        </w:rPr>
      </w:pPr>
      <w:r>
        <w:rPr>
          <w:rFonts w:hint="eastAsia" w:eastAsia="微软雅黑"/>
          <w:b/>
          <w:color w:val="C00000"/>
          <w:sz w:val="24"/>
          <w:szCs w:val="24"/>
        </w:rPr>
        <w:t>项目个案Ⅲ：</w:t>
      </w:r>
    </w:p>
    <w:p w14:paraId="62A40402">
      <w:pPr>
        <w:tabs>
          <w:tab w:val="left" w:pos="720"/>
        </w:tabs>
        <w:spacing w:line="480" w:lineRule="exact"/>
        <w:rPr>
          <w:rFonts w:eastAsia="微软雅黑"/>
          <w:b/>
          <w:color w:val="130700"/>
        </w:rPr>
      </w:pPr>
      <w:r>
        <w:rPr>
          <w:rFonts w:hint="eastAsia" w:eastAsia="微软雅黑"/>
          <w:b/>
          <w:color w:val="130700"/>
        </w:rPr>
        <w:t>案例三：</w:t>
      </w:r>
      <w:r>
        <w:rPr>
          <w:rFonts w:eastAsia="微软雅黑"/>
          <w:b/>
          <w:color w:val="130700"/>
        </w:rPr>
        <w:t xml:space="preserve"> </w:t>
      </w:r>
      <w:r>
        <w:rPr>
          <w:rFonts w:hint="eastAsia" w:eastAsia="微软雅黑"/>
          <w:b/>
          <w:color w:val="130700"/>
        </w:rPr>
        <w:t>某民企</w:t>
      </w:r>
      <w:r>
        <w:rPr>
          <w:rFonts w:eastAsia="微软雅黑"/>
          <w:b/>
          <w:color w:val="130700"/>
        </w:rPr>
        <w:t>500</w:t>
      </w:r>
      <w:r>
        <w:rPr>
          <w:rFonts w:hint="eastAsia" w:eastAsia="微软雅黑"/>
          <w:b/>
          <w:color w:val="130700"/>
        </w:rPr>
        <w:t>强集团子公司精益改善与工厂布局项目（周期</w:t>
      </w:r>
      <w:r>
        <w:rPr>
          <w:rFonts w:eastAsia="微软雅黑"/>
          <w:b/>
          <w:color w:val="130700"/>
        </w:rPr>
        <w:t>1</w:t>
      </w:r>
      <w:r>
        <w:rPr>
          <w:rFonts w:hint="eastAsia" w:eastAsia="微软雅黑"/>
          <w:b/>
          <w:color w:val="130700"/>
        </w:rPr>
        <w:t>年）</w:t>
      </w:r>
    </w:p>
    <w:p w14:paraId="5C8ECE9D">
      <w:pPr>
        <w:tabs>
          <w:tab w:val="left" w:pos="720"/>
        </w:tabs>
        <w:spacing w:line="480" w:lineRule="exact"/>
        <w:rPr>
          <w:rFonts w:eastAsia="微软雅黑"/>
          <w:b/>
          <w:color w:val="130700"/>
        </w:rPr>
      </w:pPr>
      <w:r>
        <w:rPr>
          <w:rFonts w:hint="eastAsia" w:eastAsia="微软雅黑"/>
          <w:b/>
          <w:color w:val="130700"/>
        </w:rPr>
        <w:t>项目背景：</w:t>
      </w:r>
    </w:p>
    <w:p w14:paraId="5284553C">
      <w:pPr>
        <w:tabs>
          <w:tab w:val="left" w:pos="720"/>
        </w:tabs>
        <w:spacing w:line="480" w:lineRule="exact"/>
        <w:rPr>
          <w:rFonts w:eastAsia="微软雅黑"/>
          <w:color w:val="130700"/>
        </w:rPr>
      </w:pPr>
      <w:r>
        <w:rPr>
          <w:rFonts w:hint="eastAsia" w:eastAsia="微软雅黑"/>
          <w:color w:val="130700"/>
        </w:rPr>
        <w:t>公司通过几年的精益生产改善，至</w:t>
      </w:r>
      <w:r>
        <w:rPr>
          <w:rFonts w:eastAsia="微软雅黑"/>
          <w:color w:val="130700"/>
        </w:rPr>
        <w:t>2010</w:t>
      </w:r>
      <w:r>
        <w:rPr>
          <w:rFonts w:hint="eastAsia" w:eastAsia="微软雅黑"/>
          <w:color w:val="130700"/>
        </w:rPr>
        <w:t>年底，已经基本过渡到生产线作业，但并未真正实现产品流动，同时，因为设备维护、工艺粗放、原材料不良等一系列问题，品质问题异常突出。</w:t>
      </w:r>
      <w:r>
        <w:rPr>
          <w:rFonts w:eastAsia="微软雅黑"/>
          <w:color w:val="130700"/>
        </w:rPr>
        <w:t>2011</w:t>
      </w:r>
      <w:r>
        <w:rPr>
          <w:rFonts w:hint="eastAsia" w:eastAsia="微软雅黑"/>
          <w:color w:val="130700"/>
        </w:rPr>
        <w:t>年年初，结合新工厂布局规划工作，开展了以“工序内打造品质”、“工序流畅化”为核心的精益改善与工厂布局设计项目</w:t>
      </w:r>
    </w:p>
    <w:p w14:paraId="4DD18FF9">
      <w:pPr>
        <w:tabs>
          <w:tab w:val="left" w:pos="720"/>
        </w:tabs>
        <w:spacing w:line="480" w:lineRule="exact"/>
        <w:rPr>
          <w:rFonts w:eastAsia="微软雅黑"/>
          <w:b/>
          <w:color w:val="130700"/>
        </w:rPr>
      </w:pPr>
      <w:r>
        <w:rPr>
          <w:rFonts w:hint="eastAsia" w:eastAsia="微软雅黑"/>
          <w:b/>
          <w:color w:val="130700"/>
        </w:rPr>
        <w:t>项目成就：</w:t>
      </w:r>
    </w:p>
    <w:p w14:paraId="03F8FC9C">
      <w:pPr>
        <w:tabs>
          <w:tab w:val="left" w:pos="720"/>
        </w:tabs>
        <w:spacing w:line="480" w:lineRule="exact"/>
        <w:rPr>
          <w:rFonts w:eastAsia="微软雅黑"/>
          <w:color w:val="130700"/>
        </w:rPr>
      </w:pPr>
      <w:r>
        <w:rPr>
          <w:rFonts w:hint="eastAsia" w:eastAsia="微软雅黑"/>
          <w:color w:val="130700"/>
        </w:rPr>
        <w:t>完成样板线改造并推广，实现生产单件流及少人化改善，生产效率提高</w:t>
      </w:r>
      <w:r>
        <w:rPr>
          <w:rFonts w:eastAsia="微软雅黑"/>
          <w:color w:val="130700"/>
        </w:rPr>
        <w:t>70%</w:t>
      </w:r>
      <w:r>
        <w:rPr>
          <w:rFonts w:hint="eastAsia" w:eastAsia="微软雅黑"/>
          <w:color w:val="130700"/>
        </w:rPr>
        <w:t>以上，不良率改善</w:t>
      </w:r>
      <w:r>
        <w:rPr>
          <w:rFonts w:eastAsia="微软雅黑"/>
          <w:color w:val="130700"/>
        </w:rPr>
        <w:t>80%</w:t>
      </w:r>
      <w:r>
        <w:rPr>
          <w:rFonts w:hint="eastAsia" w:eastAsia="微软雅黑"/>
          <w:color w:val="130700"/>
        </w:rPr>
        <w:t>以上。</w:t>
      </w:r>
    </w:p>
    <w:p w14:paraId="16D2D72A">
      <w:pPr>
        <w:tabs>
          <w:tab w:val="left" w:pos="720"/>
        </w:tabs>
        <w:spacing w:line="480" w:lineRule="exact"/>
        <w:rPr>
          <w:rFonts w:eastAsia="微软雅黑"/>
          <w:color w:val="130700"/>
        </w:rPr>
      </w:pPr>
      <w:r>
        <w:rPr>
          <w:rFonts w:hint="eastAsia" w:eastAsia="微软雅黑"/>
          <w:color w:val="130700"/>
        </w:rPr>
        <w:t>整体物流距离削减</w:t>
      </w:r>
      <w:r>
        <w:rPr>
          <w:rFonts w:eastAsia="微软雅黑"/>
          <w:color w:val="130700"/>
        </w:rPr>
        <w:t>85%</w:t>
      </w:r>
      <w:r>
        <w:rPr>
          <w:rFonts w:hint="eastAsia" w:eastAsia="微软雅黑"/>
          <w:color w:val="130700"/>
        </w:rPr>
        <w:t>以上，实现新工厂布局规划设计，优化物料搬运路线，实现小批量配送，内部物流格局的根本性变化。</w:t>
      </w:r>
    </w:p>
    <w:p w14:paraId="34046879">
      <w:pPr>
        <w:tabs>
          <w:tab w:val="left" w:pos="720"/>
        </w:tabs>
        <w:spacing w:line="480" w:lineRule="exact"/>
        <w:rPr>
          <w:rFonts w:eastAsia="微软雅黑"/>
          <w:color w:val="130700"/>
        </w:rPr>
      </w:pPr>
      <w:r>
        <w:rPr>
          <w:rFonts w:hint="eastAsia" w:eastAsia="微软雅黑"/>
          <w:color w:val="130700"/>
        </w:rPr>
        <w:t>启动库存管理优化项目，建立基于数据分析的销售预测与库存管控分析模型，并开展库存管理改善。</w:t>
      </w:r>
    </w:p>
    <w:p w14:paraId="3ACD7E21">
      <w:pPr>
        <w:spacing w:line="480" w:lineRule="exact"/>
        <w:rPr>
          <w:rFonts w:eastAsia="微软雅黑"/>
          <w:b/>
          <w:color w:val="C00000"/>
          <w:sz w:val="24"/>
          <w:szCs w:val="24"/>
        </w:rPr>
      </w:pPr>
      <w:r>
        <w:rPr>
          <w:rFonts w:hint="eastAsia" w:eastAsia="微软雅黑"/>
          <w:b/>
          <w:color w:val="C00000"/>
          <w:sz w:val="24"/>
          <w:szCs w:val="24"/>
        </w:rPr>
        <w:t>部分服务客户（排名不分先后）：</w:t>
      </w:r>
    </w:p>
    <w:p w14:paraId="258701F7">
      <w:pPr>
        <w:spacing w:line="480" w:lineRule="exact"/>
        <w:textAlignment w:val="baseline"/>
        <w:rPr>
          <w:rFonts w:eastAsia="微软雅黑"/>
          <w:color w:val="130700"/>
        </w:rPr>
      </w:pPr>
      <w:r>
        <w:rPr>
          <w:rFonts w:hint="eastAsia" w:eastAsia="微软雅黑"/>
          <w:color w:val="130700"/>
        </w:rPr>
        <w:t>大陆汽车电子、大众联合汽车、重庆海德世、水星海事、阿尔诺维根斯、布勒机械、上海电气、上航发动机、三星电子、大宇爱思恩梯、航天机电、飞派仕柔性包装、通用电气、霍尼韦尔、日立（中国）、精工电子、正泰新能源、通威太阳能、常州庞巴迪、八千代工业、通力电梯、中船重工、徐工集团、玉柴重工、达门船用设备、洛阳机车、合肥延锋、中材玻纤院、</w:t>
      </w:r>
      <w:r>
        <w:rPr>
          <w:rFonts w:eastAsia="微软雅黑"/>
          <w:color w:val="130700"/>
        </w:rPr>
        <w:t>YKK</w:t>
      </w:r>
      <w:r>
        <w:rPr>
          <w:rFonts w:hint="eastAsia" w:eastAsia="微软雅黑"/>
          <w:color w:val="130700"/>
        </w:rPr>
        <w:t>拉链、南昌地铁、伟尔矿业、纳恩博科技、株洲中车、新宁物流、宝尊电商、上海庄臣、联亚制衣、特步集团、杭州雅马哈、膳魔师、济丰包装、中国铝业、卫岗乳业、诺瑞肯（中国）、宾科精密、扬州高露洁、克劳斯玛菲、北控水务、港华清源华衍、克鲁勃润滑油、欧文斯科宁、威卡仪表、南京圣韩玻璃、青岛圣戈班、广汉圣戈班、金杯电工、威高医疗、君实生物、加奇生物、万华化学、乐斯福、金丝猴奶糖、茅台酒业、五芳斋……</w:t>
      </w:r>
    </w:p>
    <w:p w14:paraId="4C481483">
      <w:pPr>
        <w:spacing w:line="480" w:lineRule="exact"/>
        <w:rPr>
          <w:rFonts w:eastAsia="微软雅黑"/>
        </w:rPr>
      </w:pPr>
    </w:p>
    <w:sectPr>
      <w:headerReference r:id="rId3" w:type="default"/>
      <w:footerReference r:id="rId4"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32C73">
    <w:pPr>
      <w:pStyle w:val="11"/>
    </w:pPr>
    <w:r>
      <mc:AlternateContent>
        <mc:Choice Requires="wps">
          <w:drawing>
            <wp:anchor distT="0" distB="0" distL="114300" distR="114300" simplePos="0" relativeHeight="251661312" behindDoc="1" locked="0" layoutInCell="1" allowOverlap="1">
              <wp:simplePos x="0" y="0"/>
              <wp:positionH relativeFrom="column">
                <wp:posOffset>-1231900</wp:posOffset>
              </wp:positionH>
              <wp:positionV relativeFrom="paragraph">
                <wp:posOffset>1905</wp:posOffset>
              </wp:positionV>
              <wp:extent cx="8103235" cy="584835"/>
              <wp:effectExtent l="0" t="0" r="13335" b="1905"/>
              <wp:wrapTight wrapText="bothSides">
                <wp:wrapPolygon>
                  <wp:start x="0" y="0"/>
                  <wp:lineTo x="0" y="21154"/>
                  <wp:lineTo x="21412" y="21154"/>
                  <wp:lineTo x="21412" y="0"/>
                  <wp:lineTo x="0" y="0"/>
                </wp:wrapPolygon>
              </wp:wrapTight>
              <wp:docPr id="1" name="矩形 40"/>
              <wp:cNvGraphicFramePr/>
              <a:graphic xmlns:a="http://schemas.openxmlformats.org/drawingml/2006/main">
                <a:graphicData uri="http://schemas.microsoft.com/office/word/2010/wordprocessingShape">
                  <wps:wsp>
                    <wps:cNvSpPr>
                      <a:spLocks noChangeArrowheads="1"/>
                    </wps:cNvSpPr>
                    <wps:spPr bwMode="auto">
                      <a:xfrm>
                        <a:off x="0" y="0"/>
                        <a:ext cx="8103235" cy="584835"/>
                      </a:xfrm>
                      <a:prstGeom prst="rect">
                        <a:avLst/>
                      </a:prstGeom>
                      <a:solidFill>
                        <a:srgbClr val="AF0D1C">
                          <a:alpha val="85001"/>
                        </a:srgbClr>
                      </a:solidFill>
                      <a:ln>
                        <a:noFill/>
                      </a:ln>
                    </wps:spPr>
                    <wps:txbx>
                      <w:txbxContent>
                        <w:p w14:paraId="00CA6D71"/>
                      </w:txbxContent>
                    </wps:txbx>
                    <wps:bodyPr rot="0" vert="horz" wrap="square" lIns="91440" tIns="45720" rIns="91440" bIns="45720" anchor="t" anchorCtr="0" upright="1">
                      <a:noAutofit/>
                    </wps:bodyPr>
                  </wps:wsp>
                </a:graphicData>
              </a:graphic>
            </wp:anchor>
          </w:drawing>
        </mc:Choice>
        <mc:Fallback>
          <w:pict>
            <v:rect id="矩形 40" o:spid="_x0000_s1026" o:spt="1" style="position:absolute;left:0pt;margin-left:-97pt;margin-top:0.15pt;height:46.05pt;width:638.05pt;mso-wrap-distance-left:9pt;mso-wrap-distance-right:9pt;z-index:-251655168;mso-width-relative:page;mso-height-relative:page;" fillcolor="#AF0D1C" filled="t" stroked="f" coordsize="21600,21600" wrapcoords="0 0 0 21154 21412 21154 21412 0 0 0" o:gfxdata="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fSfFdcAAAAJAQAADwAAAAAAAAABACAAAAAiAAAAZHJzL2Rvd25yZXYueG1s&#10;UEsBAhQAFAAAAAgAh07iQK0Sya8yAgAAUwQAAA4AAAAAAAAAAQAgAAAAJgEAAGRycy9lMm9Eb2Mu&#10;eG1sUEsFBgAAAAAGAAYAWQEAAMoFAAAAAA==&#10;">
              <v:fill on="t" opacity="55706f" focussize="0,0"/>
              <v:stroke on="f"/>
              <v:imagedata o:title=""/>
              <o:lock v:ext="edit" aspectratio="f"/>
              <v:textbox>
                <w:txbxContent>
                  <w:p w14:paraId="00CA6D71"/>
                </w:txbxContent>
              </v:textbox>
              <w10:wrap type="tight"/>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5731510</wp:posOffset>
              </wp:positionH>
              <wp:positionV relativeFrom="paragraph">
                <wp:posOffset>228600</wp:posOffset>
              </wp:positionV>
              <wp:extent cx="499745" cy="198120"/>
              <wp:effectExtent l="0" t="0" r="0" b="1905"/>
              <wp:wrapNone/>
              <wp:docPr id="4"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499745" cy="198120"/>
                      </a:xfrm>
                      <a:prstGeom prst="rect">
                        <a:avLst/>
                      </a:prstGeom>
                      <a:noFill/>
                      <a:ln>
                        <a:noFill/>
                      </a:ln>
                    </wps:spPr>
                    <wps:txbx>
                      <w:txbxContent>
                        <w:p w14:paraId="18D0E449">
                          <w:pPr>
                            <w:jc w:val="center"/>
                            <w:rPr>
                              <w:b/>
                              <w:color w:val="FFFFFF"/>
                              <w:szCs w:val="21"/>
                            </w:rPr>
                          </w:pP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8</w:t>
                          </w:r>
                          <w:r>
                            <w:rPr>
                              <w:b/>
                              <w:color w:val="FFFFFF"/>
                              <w:szCs w:val="21"/>
                            </w:rPr>
                            <w:fldChar w:fldCharType="end"/>
                          </w:r>
                        </w:p>
                      </w:txbxContent>
                    </wps:txbx>
                    <wps:bodyPr rot="0" vert="horz" wrap="square" lIns="0" tIns="0" rIns="0" bIns="0" anchor="t" anchorCtr="0" upright="1">
                      <a:noAutofit/>
                    </wps:bodyPr>
                  </wps:wsp>
                </a:graphicData>
              </a:graphic>
            </wp:anchor>
          </w:drawing>
        </mc:Choice>
        <mc:Fallback>
          <w:pict>
            <v:shape id="文本框 25" o:spid="_x0000_s1026" o:spt="202" type="#_x0000_t202" style="position:absolute;left:0pt;margin-left:451.3pt;margin-top:18pt;height:15.6pt;width:39.35pt;mso-position-horizontal-relative:margin;z-index:251659264;mso-width-relative:page;mso-height-relative:page;" filled="f" stroked="f" coordsize="21600,21600" o:gfxdata="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HoUm2AAAAAkBAAAPAAAAAAAAAAEA&#10;IAAAACIAAABkcnMvZG93bnJldi54bWxQSwECFAAUAAAACACHTuJAiz7OTg8CAAAFBAAADgAAAAAA&#10;AAABACAAAAAnAQAAZHJzL2Uyb0RvYy54bWxQSwUGAAAAAAYABgBZAQAAqAUAAAAA&#10;">
              <v:fill on="f" focussize="0,0"/>
              <v:stroke on="f"/>
              <v:imagedata o:title=""/>
              <o:lock v:ext="edit" aspectratio="f"/>
              <v:textbox inset="0mm,0mm,0mm,0mm">
                <w:txbxContent>
                  <w:p w14:paraId="18D0E449">
                    <w:pPr>
                      <w:jc w:val="center"/>
                      <w:rPr>
                        <w:b/>
                        <w:color w:val="FFFFFF"/>
                        <w:szCs w:val="21"/>
                      </w:rPr>
                    </w:pP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8</w:t>
                    </w:r>
                    <w:r>
                      <w:rPr>
                        <w:b/>
                        <w:color w:val="FFFFFF"/>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C407">
    <w:pPr>
      <w:pStyle w:val="12"/>
      <w:pBdr>
        <w:bottom w:val="none" w:color="auto" w:sz="0" w:space="1"/>
      </w:pBdr>
      <w:jc w:val="both"/>
    </w:pPr>
    <w:r>
      <w:rPr>
        <w:rFonts w:hint="eastAsia" w:hAnsi="微软雅黑" w:eastAsia="微软雅黑"/>
        <w:szCs w:val="24"/>
      </w:rPr>
      <mc:AlternateContent>
        <mc:Choice Requires="wps">
          <w:drawing>
            <wp:anchor distT="0" distB="0" distL="114300" distR="114300" simplePos="0" relativeHeight="251662336" behindDoc="0" locked="0" layoutInCell="1" allowOverlap="1">
              <wp:simplePos x="0" y="0"/>
              <wp:positionH relativeFrom="column">
                <wp:posOffset>5121910</wp:posOffset>
              </wp:positionH>
              <wp:positionV relativeFrom="paragraph">
                <wp:posOffset>354965</wp:posOffset>
              </wp:positionV>
              <wp:extent cx="1166495" cy="424815"/>
              <wp:effectExtent l="0" t="2540" r="0" b="127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24815"/>
                      </a:xfrm>
                      <a:prstGeom prst="rect">
                        <a:avLst/>
                      </a:prstGeom>
                      <a:noFill/>
                      <a:ln>
                        <a:noFill/>
                      </a:ln>
                    </wps:spPr>
                    <wps:txbx>
                      <w:txbxContent>
                        <w:p w14:paraId="486314A6">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7.95pt;height:33.45pt;width:91.85pt;z-index:251662336;mso-width-relative:page;mso-height-relative:page;" filled="f" stroked="f" coordsize="21600,21600" o:gfxdata="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hWsvtcAAAAKAQAADwAA&#10;AAAAAAABACAAAAAiAAAAZHJzL2Rvd25yZXYueG1sUEsBAhQAFAAAAAgAh07iQLUYBR0XAgAAFQQA&#10;AA4AAAAAAAAAAQAgAAAAJgEAAGRycy9lMm9Eb2MueG1sUEsFBgAAAAAGAAYAWQEAAK8FAAAAAA==&#10;">
              <v:fill on="f" focussize="0,0"/>
              <v:stroke on="f"/>
              <v:imagedata o:title=""/>
              <o:lock v:ext="edit" aspectratio="f"/>
              <v:textbox>
                <w:txbxContent>
                  <w:p w14:paraId="486314A6">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14:paraId="4B767F0B">
                          <w:pPr>
                            <w:spacing w:before="120" w:beforeLines="50" w:after="120" w:afterLines="50"/>
                            <w:jc w:val="center"/>
                            <w:rPr>
                              <w:color w:val="FFFFFF"/>
                            </w:rPr>
                          </w:pPr>
                          <w:r>
                            <w:rPr>
                              <w:rFonts w:hint="eastAsia" w:ascii="微软雅黑" w:hAnsi="微软雅黑" w:eastAsia="微软雅黑" w:cs="微软雅黑"/>
                              <w:b/>
                              <w:color w:val="FFFFFF"/>
                              <w:sz w:val="44"/>
                            </w:rPr>
                            <w:t>仓库日常管理与厂内物流实务</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1312;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y++w1wAAAAkB&#10;AAAPAAAAAAAAAAEAIAAAACIAAABkcnMvZG93bnJldi54bWxQSwECFAAUAAAACACHTuJAKlvMpRwC&#10;AAAkBAAADgAAAAAAAAABACAAAAAmAQAAZHJzL2Uyb0RvYy54bWxQSwUGAAAAAAYABgBZAQAAtAUA&#10;AAAA&#10;">
              <v:fill on="f" focussize="0,0"/>
              <v:stroke on="f"/>
              <v:imagedata o:title=""/>
              <o:lock v:ext="edit" aspectratio="f"/>
              <v:textbox>
                <w:txbxContent>
                  <w:p w14:paraId="4B767F0B">
                    <w:pPr>
                      <w:spacing w:before="120" w:beforeLines="50" w:after="120" w:afterLines="50"/>
                      <w:jc w:val="center"/>
                      <w:rPr>
                        <w:color w:val="FFFFFF"/>
                      </w:rPr>
                    </w:pPr>
                    <w:r>
                      <w:rPr>
                        <w:rFonts w:hint="eastAsia" w:ascii="微软雅黑" w:hAnsi="微软雅黑" w:eastAsia="微软雅黑" w:cs="微软雅黑"/>
                        <w:b/>
                        <w:color w:val="FFFFFF"/>
                        <w:sz w:val="44"/>
                      </w:rPr>
                      <w:t>仓库日常管理与厂内物流实务</w:t>
                    </w:r>
                  </w:p>
                </w:txbxContent>
              </v:textbox>
            </v:shape>
          </w:pict>
        </mc:Fallback>
      </mc:AlternateContent>
    </w:r>
    <w:r>
      <w:rPr>
        <w:sz w:val="24"/>
      </w:rPr>
      <mc:AlternateContent>
        <mc:Choice Requires="wps">
          <w:drawing>
            <wp:anchor distT="0" distB="0" distL="114300" distR="114300" simplePos="0" relativeHeight="251660288"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74C26A17"/>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6192;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74C26A17"/>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1714E"/>
    <w:multiLevelType w:val="multilevel"/>
    <w:tmpl w:val="0C31714E"/>
    <w:lvl w:ilvl="0" w:tentative="0">
      <w:start w:val="1"/>
      <w:numFmt w:val="decimal"/>
      <w:lvlText w:val="%1"/>
      <w:lvlJc w:val="left"/>
      <w:pPr>
        <w:ind w:left="851" w:hanging="426"/>
      </w:pPr>
      <w:rPr>
        <w:rFonts w:hint="eastAsia"/>
      </w:rPr>
    </w:lvl>
    <w:lvl w:ilvl="1" w:tentative="0">
      <w:start w:val="1"/>
      <w:numFmt w:val="decimal"/>
      <w:lvlText w:val="%1.%2"/>
      <w:lvlJc w:val="left"/>
      <w:pPr>
        <w:ind w:left="851" w:firstLine="0"/>
      </w:pPr>
      <w:rPr>
        <w:rFonts w:hint="eastAsia"/>
      </w:rPr>
    </w:lvl>
    <w:lvl w:ilvl="2" w:tentative="0">
      <w:start w:val="1"/>
      <w:numFmt w:val="decimal"/>
      <w:lvlText w:val="%1.%2.%3"/>
      <w:lvlJc w:val="left"/>
      <w:pPr>
        <w:ind w:left="1418"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C6F3922"/>
    <w:multiLevelType w:val="multilevel"/>
    <w:tmpl w:val="0C6F3922"/>
    <w:lvl w:ilvl="0" w:tentative="0">
      <w:start w:val="1"/>
      <w:numFmt w:val="decimal"/>
      <w:lvlText w:val="%1"/>
      <w:lvlJc w:val="left"/>
      <w:pPr>
        <w:ind w:left="851" w:hanging="426"/>
      </w:pPr>
      <w:rPr>
        <w:rFonts w:hint="eastAsia"/>
      </w:rPr>
    </w:lvl>
    <w:lvl w:ilvl="1" w:tentative="0">
      <w:start w:val="1"/>
      <w:numFmt w:val="decimal"/>
      <w:lvlText w:val="%1.%2"/>
      <w:lvlJc w:val="left"/>
      <w:pPr>
        <w:ind w:left="851" w:firstLine="0"/>
      </w:pPr>
      <w:rPr>
        <w:rFonts w:hint="eastAsia"/>
      </w:rPr>
    </w:lvl>
    <w:lvl w:ilvl="2" w:tentative="0">
      <w:start w:val="1"/>
      <w:numFmt w:val="lowerRoman"/>
      <w:lvlText w:val="%3."/>
      <w:lvlJc w:val="right"/>
      <w:pPr>
        <w:ind w:left="1575" w:hanging="440"/>
      </w:pPr>
    </w:lvl>
    <w:lvl w:ilvl="3" w:tentative="0">
      <w:start w:val="1"/>
      <w:numFmt w:val="bullet"/>
      <w:lvlText w:val=""/>
      <w:lvlJc w:val="left"/>
      <w:pPr>
        <w:ind w:left="1984" w:hanging="708"/>
      </w:pPr>
      <w:rPr>
        <w:rFonts w:hint="default" w:ascii="Wingdings" w:hAnsi="Wingding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890697C"/>
    <w:multiLevelType w:val="multilevel"/>
    <w:tmpl w:val="2890697C"/>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3">
    <w:nsid w:val="3F015C79"/>
    <w:multiLevelType w:val="multilevel"/>
    <w:tmpl w:val="3F015C79"/>
    <w:lvl w:ilvl="0" w:tentative="0">
      <w:start w:val="1"/>
      <w:numFmt w:val="decimal"/>
      <w:lvlText w:val="%1"/>
      <w:lvlJc w:val="left"/>
      <w:pPr>
        <w:ind w:left="851" w:hanging="426"/>
      </w:pPr>
      <w:rPr>
        <w:rFonts w:hint="eastAsia"/>
      </w:rPr>
    </w:lvl>
    <w:lvl w:ilvl="1" w:tentative="0">
      <w:start w:val="1"/>
      <w:numFmt w:val="decimal"/>
      <w:lvlText w:val="%1.%2"/>
      <w:lvlJc w:val="left"/>
      <w:pPr>
        <w:ind w:left="851" w:firstLine="0"/>
      </w:pPr>
      <w:rPr>
        <w:rFonts w:hint="eastAsia"/>
      </w:rPr>
    </w:lvl>
    <w:lvl w:ilvl="2" w:tentative="0">
      <w:start w:val="1"/>
      <w:numFmt w:val="decimal"/>
      <w:lvlText w:val="%1.%2.%3"/>
      <w:lvlJc w:val="left"/>
      <w:pPr>
        <w:ind w:left="1135" w:firstLine="0"/>
      </w:pPr>
      <w:rPr>
        <w:rFonts w:hint="eastAsia"/>
      </w:rPr>
    </w:lvl>
    <w:lvl w:ilvl="3" w:tentative="0">
      <w:start w:val="1"/>
      <w:numFmt w:val="bullet"/>
      <w:lvlText w:val=""/>
      <w:lvlJc w:val="left"/>
      <w:pPr>
        <w:ind w:left="1984" w:hanging="708"/>
      </w:pPr>
      <w:rPr>
        <w:rFonts w:hint="default" w:ascii="Wingdings" w:hAnsi="Wingding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45E46B7"/>
    <w:multiLevelType w:val="multilevel"/>
    <w:tmpl w:val="645E46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67177E"/>
    <w:multiLevelType w:val="multilevel"/>
    <w:tmpl w:val="6467177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BA7438"/>
    <w:multiLevelType w:val="multilevel"/>
    <w:tmpl w:val="7BBA743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1B"/>
    <w:rsid w:val="000045FC"/>
    <w:rsid w:val="00032496"/>
    <w:rsid w:val="00093C81"/>
    <w:rsid w:val="000975DB"/>
    <w:rsid w:val="000D7A84"/>
    <w:rsid w:val="00124800"/>
    <w:rsid w:val="001353B2"/>
    <w:rsid w:val="00160F0B"/>
    <w:rsid w:val="00165DE2"/>
    <w:rsid w:val="00172A27"/>
    <w:rsid w:val="00173C02"/>
    <w:rsid w:val="00185D35"/>
    <w:rsid w:val="001C35B3"/>
    <w:rsid w:val="001F290A"/>
    <w:rsid w:val="00216A52"/>
    <w:rsid w:val="0023596F"/>
    <w:rsid w:val="00261CDF"/>
    <w:rsid w:val="00263ED8"/>
    <w:rsid w:val="00264787"/>
    <w:rsid w:val="00287DC4"/>
    <w:rsid w:val="002A3556"/>
    <w:rsid w:val="002E616E"/>
    <w:rsid w:val="002F4A04"/>
    <w:rsid w:val="00322E6B"/>
    <w:rsid w:val="00336015"/>
    <w:rsid w:val="00340F5D"/>
    <w:rsid w:val="003536C6"/>
    <w:rsid w:val="003812AB"/>
    <w:rsid w:val="003A7F64"/>
    <w:rsid w:val="003B704C"/>
    <w:rsid w:val="003D2CA4"/>
    <w:rsid w:val="003F07E9"/>
    <w:rsid w:val="00401C4A"/>
    <w:rsid w:val="004074C2"/>
    <w:rsid w:val="00407BC8"/>
    <w:rsid w:val="00432EC4"/>
    <w:rsid w:val="004364E0"/>
    <w:rsid w:val="0047570B"/>
    <w:rsid w:val="004809F5"/>
    <w:rsid w:val="004A380E"/>
    <w:rsid w:val="004A5353"/>
    <w:rsid w:val="004D2282"/>
    <w:rsid w:val="004F1222"/>
    <w:rsid w:val="00544147"/>
    <w:rsid w:val="00562617"/>
    <w:rsid w:val="00571F7A"/>
    <w:rsid w:val="00581986"/>
    <w:rsid w:val="005843CE"/>
    <w:rsid w:val="00590E2A"/>
    <w:rsid w:val="005A055D"/>
    <w:rsid w:val="005B0872"/>
    <w:rsid w:val="005D10B6"/>
    <w:rsid w:val="005D3D46"/>
    <w:rsid w:val="00610115"/>
    <w:rsid w:val="00613749"/>
    <w:rsid w:val="00661C73"/>
    <w:rsid w:val="0066688B"/>
    <w:rsid w:val="0067197A"/>
    <w:rsid w:val="00685169"/>
    <w:rsid w:val="00691E30"/>
    <w:rsid w:val="00694734"/>
    <w:rsid w:val="006A05A5"/>
    <w:rsid w:val="006A7F22"/>
    <w:rsid w:val="006B02F4"/>
    <w:rsid w:val="006B3C93"/>
    <w:rsid w:val="006E2A46"/>
    <w:rsid w:val="00703F0E"/>
    <w:rsid w:val="007070B4"/>
    <w:rsid w:val="007269CC"/>
    <w:rsid w:val="007B1A9D"/>
    <w:rsid w:val="007B5D60"/>
    <w:rsid w:val="007C278B"/>
    <w:rsid w:val="007D680F"/>
    <w:rsid w:val="007E4A3F"/>
    <w:rsid w:val="007E4E51"/>
    <w:rsid w:val="00810DBB"/>
    <w:rsid w:val="008256AA"/>
    <w:rsid w:val="00832814"/>
    <w:rsid w:val="00843CE6"/>
    <w:rsid w:val="0085594E"/>
    <w:rsid w:val="00857E8B"/>
    <w:rsid w:val="00874842"/>
    <w:rsid w:val="00877927"/>
    <w:rsid w:val="008A786B"/>
    <w:rsid w:val="008D3DFA"/>
    <w:rsid w:val="00914261"/>
    <w:rsid w:val="009512F9"/>
    <w:rsid w:val="009E13AC"/>
    <w:rsid w:val="00A32A72"/>
    <w:rsid w:val="00A3303F"/>
    <w:rsid w:val="00A577C5"/>
    <w:rsid w:val="00A63DFF"/>
    <w:rsid w:val="00AD2BD8"/>
    <w:rsid w:val="00AE0C5B"/>
    <w:rsid w:val="00B0202D"/>
    <w:rsid w:val="00B05875"/>
    <w:rsid w:val="00B33796"/>
    <w:rsid w:val="00B67404"/>
    <w:rsid w:val="00B926D7"/>
    <w:rsid w:val="00BB38C5"/>
    <w:rsid w:val="00BF3FF3"/>
    <w:rsid w:val="00BF6FCA"/>
    <w:rsid w:val="00C036BE"/>
    <w:rsid w:val="00C34EBB"/>
    <w:rsid w:val="00C46A91"/>
    <w:rsid w:val="00C61BE0"/>
    <w:rsid w:val="00C74E6C"/>
    <w:rsid w:val="00C854FC"/>
    <w:rsid w:val="00CF40C1"/>
    <w:rsid w:val="00CF41C1"/>
    <w:rsid w:val="00D16B23"/>
    <w:rsid w:val="00DA0B52"/>
    <w:rsid w:val="00DA316F"/>
    <w:rsid w:val="00DA70BC"/>
    <w:rsid w:val="00DB3EDE"/>
    <w:rsid w:val="00DD6868"/>
    <w:rsid w:val="00DE5D01"/>
    <w:rsid w:val="00E05FEA"/>
    <w:rsid w:val="00E07493"/>
    <w:rsid w:val="00E125B6"/>
    <w:rsid w:val="00E141B7"/>
    <w:rsid w:val="00E33588"/>
    <w:rsid w:val="00E81ED6"/>
    <w:rsid w:val="00E97F3E"/>
    <w:rsid w:val="00F05B6D"/>
    <w:rsid w:val="00F236BE"/>
    <w:rsid w:val="00F47E68"/>
    <w:rsid w:val="00F64C8E"/>
    <w:rsid w:val="00F76941"/>
    <w:rsid w:val="00F95D21"/>
    <w:rsid w:val="00FA4809"/>
    <w:rsid w:val="00FA5C70"/>
    <w:rsid w:val="00FD4819"/>
    <w:rsid w:val="00FE7DC1"/>
    <w:rsid w:val="017621F9"/>
    <w:rsid w:val="07D70922"/>
    <w:rsid w:val="09381459"/>
    <w:rsid w:val="0958526D"/>
    <w:rsid w:val="09BD6B8A"/>
    <w:rsid w:val="09F23CE8"/>
    <w:rsid w:val="0AFA120A"/>
    <w:rsid w:val="0C3537FB"/>
    <w:rsid w:val="0C7F1C11"/>
    <w:rsid w:val="0F2E22AB"/>
    <w:rsid w:val="107F18A9"/>
    <w:rsid w:val="10F20DDB"/>
    <w:rsid w:val="12183A8E"/>
    <w:rsid w:val="13EB653A"/>
    <w:rsid w:val="14F67573"/>
    <w:rsid w:val="17C77B0F"/>
    <w:rsid w:val="19574DA2"/>
    <w:rsid w:val="1B7D79D2"/>
    <w:rsid w:val="1BE31B4D"/>
    <w:rsid w:val="1D533889"/>
    <w:rsid w:val="1D5522D4"/>
    <w:rsid w:val="1E2206E9"/>
    <w:rsid w:val="1E8F4FAF"/>
    <w:rsid w:val="1EB00B68"/>
    <w:rsid w:val="1F8C08F2"/>
    <w:rsid w:val="21D04826"/>
    <w:rsid w:val="23040234"/>
    <w:rsid w:val="23AB191E"/>
    <w:rsid w:val="24B30F5E"/>
    <w:rsid w:val="24C34C80"/>
    <w:rsid w:val="25D10AE5"/>
    <w:rsid w:val="25E40DB9"/>
    <w:rsid w:val="25F82EB2"/>
    <w:rsid w:val="26FA7220"/>
    <w:rsid w:val="275C1C24"/>
    <w:rsid w:val="286B0F53"/>
    <w:rsid w:val="29110139"/>
    <w:rsid w:val="297561D3"/>
    <w:rsid w:val="2B32788A"/>
    <w:rsid w:val="2B683643"/>
    <w:rsid w:val="2BFE25AD"/>
    <w:rsid w:val="2C484B1E"/>
    <w:rsid w:val="2CE0731C"/>
    <w:rsid w:val="2D021266"/>
    <w:rsid w:val="2D1C2F78"/>
    <w:rsid w:val="2DDD43CD"/>
    <w:rsid w:val="2E4A06F4"/>
    <w:rsid w:val="32E35FC5"/>
    <w:rsid w:val="331F61ED"/>
    <w:rsid w:val="352765C3"/>
    <w:rsid w:val="35513819"/>
    <w:rsid w:val="35BE11FB"/>
    <w:rsid w:val="36331012"/>
    <w:rsid w:val="390A2655"/>
    <w:rsid w:val="3A4849AC"/>
    <w:rsid w:val="3CAF11F3"/>
    <w:rsid w:val="3D2953BB"/>
    <w:rsid w:val="3DA4799F"/>
    <w:rsid w:val="3EB31986"/>
    <w:rsid w:val="4077339B"/>
    <w:rsid w:val="426D4684"/>
    <w:rsid w:val="44BC5F98"/>
    <w:rsid w:val="459B1F40"/>
    <w:rsid w:val="46295027"/>
    <w:rsid w:val="469D17EC"/>
    <w:rsid w:val="46BF20A2"/>
    <w:rsid w:val="47606B0B"/>
    <w:rsid w:val="47C61B5C"/>
    <w:rsid w:val="47FC3417"/>
    <w:rsid w:val="49612AC8"/>
    <w:rsid w:val="4ABC313C"/>
    <w:rsid w:val="4AF30483"/>
    <w:rsid w:val="4CBB2F60"/>
    <w:rsid w:val="4FDC618E"/>
    <w:rsid w:val="559646C4"/>
    <w:rsid w:val="56245862"/>
    <w:rsid w:val="564B6B40"/>
    <w:rsid w:val="56DC5010"/>
    <w:rsid w:val="573B510F"/>
    <w:rsid w:val="575C65BB"/>
    <w:rsid w:val="57A63BE7"/>
    <w:rsid w:val="58556DFB"/>
    <w:rsid w:val="58A1423A"/>
    <w:rsid w:val="605B3923"/>
    <w:rsid w:val="60832368"/>
    <w:rsid w:val="61154893"/>
    <w:rsid w:val="618371CB"/>
    <w:rsid w:val="61B21CE6"/>
    <w:rsid w:val="62F05CEE"/>
    <w:rsid w:val="634459FB"/>
    <w:rsid w:val="663E5D54"/>
    <w:rsid w:val="66A27570"/>
    <w:rsid w:val="66B35C38"/>
    <w:rsid w:val="68211269"/>
    <w:rsid w:val="685B471E"/>
    <w:rsid w:val="68926F62"/>
    <w:rsid w:val="6896041E"/>
    <w:rsid w:val="695E7BE1"/>
    <w:rsid w:val="6A082FA0"/>
    <w:rsid w:val="6A2A6341"/>
    <w:rsid w:val="6A5C6141"/>
    <w:rsid w:val="6BA00665"/>
    <w:rsid w:val="6C666467"/>
    <w:rsid w:val="6D694AFE"/>
    <w:rsid w:val="6D7A78B9"/>
    <w:rsid w:val="6DFB76B0"/>
    <w:rsid w:val="6FA4093E"/>
    <w:rsid w:val="706A1AFA"/>
    <w:rsid w:val="711605ED"/>
    <w:rsid w:val="713472B0"/>
    <w:rsid w:val="71B4365D"/>
    <w:rsid w:val="723536EF"/>
    <w:rsid w:val="745436E9"/>
    <w:rsid w:val="75D60C7F"/>
    <w:rsid w:val="769E4528"/>
    <w:rsid w:val="781A4D19"/>
    <w:rsid w:val="7ACE03F8"/>
    <w:rsid w:val="7B3F658F"/>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244"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qFormat/>
    <w:uiPriority w:val="0"/>
    <w:rPr>
      <w:sz w:val="21"/>
    </w:rPr>
  </w:style>
  <w:style w:type="character" w:customStyle="1" w:styleId="24">
    <w:name w:val="页脚 Char"/>
    <w:link w:val="11"/>
    <w:qFormat/>
    <w:uiPriority w:val="99"/>
    <w:rPr>
      <w:kern w:val="2"/>
      <w:sz w:val="18"/>
    </w:rPr>
  </w:style>
  <w:style w:type="character" w:customStyle="1" w:styleId="25">
    <w:name w:val="9a1"/>
    <w:qFormat/>
    <w:uiPriority w:val="0"/>
  </w:style>
  <w:style w:type="character" w:customStyle="1" w:styleId="26">
    <w:name w:val="9pt21"/>
    <w:qFormat/>
    <w:uiPriority w:val="0"/>
    <w:rPr>
      <w:color w:val="333333"/>
      <w:sz w:val="18"/>
    </w:rPr>
  </w:style>
  <w:style w:type="paragraph" w:customStyle="1" w:styleId="27">
    <w:name w:val="Normal_2"/>
    <w:basedOn w:val="1"/>
    <w:qFormat/>
    <w:uiPriority w:val="0"/>
    <w:pPr>
      <w:spacing w:line="360" w:lineRule="exact"/>
    </w:pPr>
    <w:rPr>
      <w:sz w:val="24"/>
    </w:rPr>
  </w:style>
  <w:style w:type="paragraph" w:customStyle="1" w:styleId="28">
    <w:name w:val="Char Char1 Char Char Char Char Char Char"/>
    <w:basedOn w:val="1"/>
    <w:qFormat/>
    <w:uiPriority w:val="0"/>
    <w:pPr>
      <w:widowControl/>
      <w:spacing w:after="160" w:line="240" w:lineRule="exact"/>
      <w:jc w:val="left"/>
    </w:pPr>
  </w:style>
  <w:style w:type="paragraph" w:customStyle="1" w:styleId="29">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Achievement"/>
    <w:basedOn w:val="6"/>
    <w:qFormat/>
    <w:uiPriority w:val="0"/>
    <w:pPr>
      <w:widowControl/>
      <w:spacing w:after="60" w:line="220" w:lineRule="atLeast"/>
      <w:ind w:left="780" w:hanging="420"/>
    </w:pPr>
    <w:rPr>
      <w:rFonts w:ascii="Arial" w:hAnsi="Arial"/>
      <w:spacing w:val="-5"/>
      <w:kern w:val="0"/>
      <w:sz w:val="20"/>
    </w:rPr>
  </w:style>
  <w:style w:type="paragraph" w:customStyle="1" w:styleId="32">
    <w:name w:val="列出段落2"/>
    <w:basedOn w:val="1"/>
    <w:qFormat/>
    <w:uiPriority w:val="0"/>
    <w:pPr>
      <w:ind w:firstLine="420" w:firstLineChars="200"/>
    </w:pPr>
  </w:style>
  <w:style w:type="paragraph" w:customStyle="1" w:styleId="33">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styleId="34">
    <w:name w:val="List Paragraph"/>
    <w:basedOn w:val="1"/>
    <w:qFormat/>
    <w:uiPriority w:val="34"/>
    <w:pPr>
      <w:ind w:firstLine="420" w:firstLineChars="200"/>
    </w:pPr>
    <w:rPr>
      <w:rFonts w:ascii="等线" w:hAnsi="等线" w:eastAsia="等线"/>
      <w:szCs w:val="22"/>
    </w:rPr>
  </w:style>
  <w:style w:type="paragraph" w:customStyle="1" w:styleId="35">
    <w:name w:val="列出段落2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3653</Words>
  <Characters>3750</Characters>
  <Lines>28</Lines>
  <Paragraphs>7</Paragraphs>
  <TotalTime>1</TotalTime>
  <ScaleCrop>false</ScaleCrop>
  <LinksUpToDate>false</LinksUpToDate>
  <CharactersWithSpaces>3756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2024-05-10T08:34:00Z</dcterms:created>
  <dc:creator>ssiwyj</dc:creator>
  <cp:lastModifiedBy>Yan</cp:lastModifiedBy>
  <cp:lastPrinted>2024-10-11T06:39:00Z</cp:lastPrinted>
  <dcterms:modified xsi:type="dcterms:W3CDTF">2025-07-16T05:49:51Z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D27D64AA2C934290A6DBBBCC6D07F9F7_13</vt:lpwstr>
  </property>
</Properties>
</file>