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19CF1">
      <w:pPr>
        <w:snapToGrid w:val="0"/>
        <w:rPr>
          <w:rFonts w:hint="eastAsia" w:ascii="微软雅黑" w:hAnsi="微软雅黑" w:eastAsia="微软雅黑"/>
          <w:sz w:val="20"/>
          <w:szCs w:val="20"/>
        </w:rPr>
      </w:pPr>
      <w:bookmarkStart w:id="1" w:name="_GoBack"/>
      <w:bookmarkEnd w:id="1"/>
      <w:bookmarkStart w:id="0" w:name="_Hlk91793999"/>
      <w:bookmarkEnd w:id="0"/>
    </w:p>
    <w:p w14:paraId="253278D0">
      <w:pPr>
        <w:snapToGrid w:val="0"/>
        <w:jc w:val="cente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pP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双赢谈判实战共创工作坊</w:t>
      </w: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ab/>
      </w:r>
    </w:p>
    <w:p w14:paraId="5371E413">
      <w:pPr>
        <w:snapToGrid w:val="0"/>
        <w:jc w:val="center"/>
        <w:rPr>
          <w:rFonts w:ascii="Arial" w:hAnsi="Arial" w:cs="Arial"/>
          <w:color w:val="D6D6D6"/>
          <w:sz w:val="24"/>
          <w:szCs w:val="24"/>
        </w:rPr>
      </w:pPr>
      <w:r>
        <w:rPr>
          <w:rFonts w:hint="eastAsia" w:ascii="Arial" w:hAnsi="Arial" w:cs="Arial"/>
          <w:color w:val="D6D6D6"/>
          <w:sz w:val="24"/>
          <w:szCs w:val="24"/>
        </w:rPr>
        <w:t>Win-Win Negotiation Practical Co-Creation Workshop</w:t>
      </w:r>
    </w:p>
    <w:p w14:paraId="5279C2E0">
      <w:pPr>
        <w:snapToGrid w:val="0"/>
        <w:rPr>
          <w:rFonts w:hint="eastAsia" w:ascii="微软雅黑" w:hAnsi="微软雅黑" w:eastAsia="微软雅黑"/>
          <w:sz w:val="20"/>
          <w:szCs w:val="20"/>
        </w:rPr>
      </w:pPr>
    </w:p>
    <w:tbl>
      <w:tblPr>
        <w:tblStyle w:val="6"/>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434"/>
        <w:gridCol w:w="2434"/>
        <w:gridCol w:w="2434"/>
        <w:gridCol w:w="2434"/>
      </w:tblGrid>
      <w:tr w14:paraId="5BE7344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38" w:hRule="atLeast"/>
        </w:trPr>
        <w:tc>
          <w:tcPr>
            <w:tcW w:w="2434" w:type="dxa"/>
            <w:shd w:val="clear" w:color="auto" w:fill="2E74B5"/>
            <w:vAlign w:val="center"/>
          </w:tcPr>
          <w:p w14:paraId="1B2A8EC2">
            <w:pPr>
              <w:snapToGrid w:val="0"/>
              <w:ind w:left="210" w:leftChars="100"/>
              <w:jc w:val="left"/>
              <w:rPr>
                <w:rFonts w:hint="eastAsia" w:ascii="微软雅黑" w:hAnsi="微软雅黑" w:eastAsia="微软雅黑"/>
                <w:color w:val="FFFFFF" w:themeColor="background1"/>
                <w:sz w:val="20"/>
                <w:szCs w:val="20"/>
                <w14:textFill>
                  <w14:solidFill>
                    <w14:schemeClr w14:val="bg1"/>
                  </w14:solidFill>
                </w14:textFill>
              </w:rPr>
            </w:pPr>
            <w:r>
              <w:rPr>
                <w:rFonts w:hint="eastAsia" w:ascii="微软雅黑" w:hAnsi="微软雅黑" w:eastAsia="微软雅黑" w:cs="宋体"/>
                <w:b/>
                <w:bCs/>
                <w:color w:val="FFFFFF" w:themeColor="background1"/>
                <w:kern w:val="0"/>
                <w:sz w:val="24"/>
                <w:szCs w:val="24"/>
                <w14:textFill>
                  <w14:solidFill>
                    <w14:schemeClr w14:val="bg1"/>
                  </w14:solidFill>
                </w14:textFill>
              </w:rPr>
              <w:t>日期</w:t>
            </w:r>
            <w:r>
              <w:rPr>
                <w:rFonts w:ascii="微软雅黑" w:hAnsi="微软雅黑" w:eastAsia="微软雅黑" w:cs="宋体"/>
                <w:b/>
                <w:bCs/>
                <w:color w:val="FFFFFF" w:themeColor="background1"/>
                <w:kern w:val="0"/>
                <w:sz w:val="24"/>
                <w:szCs w:val="24"/>
                <w14:textFill>
                  <w14:solidFill>
                    <w14:schemeClr w14:val="bg1"/>
                  </w14:solidFill>
                </w14:textFill>
              </w:rPr>
              <w:t>/</w:t>
            </w:r>
            <w:r>
              <w:rPr>
                <w:rFonts w:hint="eastAsia" w:ascii="微软雅黑" w:hAnsi="微软雅黑" w:eastAsia="微软雅黑" w:cs="宋体"/>
                <w:b/>
                <w:bCs/>
                <w:color w:val="FFFFFF" w:themeColor="background1"/>
                <w:kern w:val="0"/>
                <w:sz w:val="24"/>
                <w:szCs w:val="24"/>
                <w14:textFill>
                  <w14:solidFill>
                    <w14:schemeClr w14:val="bg1"/>
                  </w14:solidFill>
                </w14:textFill>
              </w:rPr>
              <w:t>Date</w:t>
            </w:r>
          </w:p>
        </w:tc>
        <w:tc>
          <w:tcPr>
            <w:tcW w:w="7302" w:type="dxa"/>
            <w:gridSpan w:val="3"/>
            <w:vAlign w:val="center"/>
          </w:tcPr>
          <w:p w14:paraId="4F96D2E8">
            <w:pPr>
              <w:snapToGrid w:val="0"/>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2025年09月17日-18日  北京</w:t>
            </w:r>
          </w:p>
        </w:tc>
      </w:tr>
      <w:tr w14:paraId="3D6AD76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61" w:hRule="atLeast"/>
        </w:trPr>
        <w:tc>
          <w:tcPr>
            <w:tcW w:w="2434" w:type="dxa"/>
            <w:shd w:val="clear" w:color="auto" w:fill="2E74B5"/>
            <w:vAlign w:val="center"/>
          </w:tcPr>
          <w:p w14:paraId="3AD24CFC">
            <w:pPr>
              <w:snapToGrid w:val="0"/>
              <w:ind w:left="210" w:leftChars="100"/>
              <w:jc w:val="left"/>
              <w:rPr>
                <w:rFonts w:hint="eastAsia" w:ascii="微软雅黑" w:hAnsi="微软雅黑" w:eastAsia="微软雅黑"/>
                <w:sz w:val="20"/>
                <w:szCs w:val="20"/>
              </w:rPr>
            </w:pPr>
            <w:r>
              <w:rPr>
                <w:rFonts w:hint="eastAsia" w:ascii="微软雅黑" w:hAnsi="微软雅黑" w:eastAsia="微软雅黑" w:cs="宋体"/>
                <w:b/>
                <w:bCs/>
                <w:color w:val="FFFFFF" w:themeColor="background1"/>
                <w:kern w:val="0"/>
                <w:sz w:val="24"/>
                <w:szCs w:val="24"/>
                <w14:textFill>
                  <w14:solidFill>
                    <w14:schemeClr w14:val="bg1"/>
                  </w14:solidFill>
                </w14:textFill>
              </w:rPr>
              <w:t>讲师</w:t>
            </w:r>
            <w:r>
              <w:rPr>
                <w:rFonts w:ascii="微软雅黑" w:hAnsi="微软雅黑" w:eastAsia="微软雅黑" w:cs="宋体"/>
                <w:b/>
                <w:bCs/>
                <w:color w:val="FFFFFF" w:themeColor="background1"/>
                <w:kern w:val="0"/>
                <w:sz w:val="24"/>
                <w:szCs w:val="24"/>
                <w14:textFill>
                  <w14:solidFill>
                    <w14:schemeClr w14:val="bg1"/>
                  </w14:solidFill>
                </w14:textFill>
              </w:rPr>
              <w:t>/Lecturer</w:t>
            </w:r>
          </w:p>
        </w:tc>
        <w:tc>
          <w:tcPr>
            <w:tcW w:w="2434" w:type="dxa"/>
            <w:vAlign w:val="center"/>
          </w:tcPr>
          <w:p w14:paraId="5F316297">
            <w:pPr>
              <w:snapToGrid w:val="0"/>
              <w:jc w:val="center"/>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牟老师</w:t>
            </w:r>
          </w:p>
        </w:tc>
        <w:tc>
          <w:tcPr>
            <w:tcW w:w="2434" w:type="dxa"/>
            <w:shd w:val="clear" w:color="auto" w:fill="2E74B5"/>
            <w:vAlign w:val="center"/>
          </w:tcPr>
          <w:p w14:paraId="55DE7540">
            <w:pPr>
              <w:snapToGrid w:val="0"/>
              <w:ind w:left="210" w:leftChars="100"/>
              <w:jc w:val="left"/>
              <w:rPr>
                <w:rFonts w:hint="eastAsia" w:ascii="微软雅黑" w:hAnsi="微软雅黑" w:eastAsia="微软雅黑"/>
                <w:color w:val="FFFFFF" w:themeColor="background1"/>
                <w:sz w:val="20"/>
                <w:szCs w:val="20"/>
                <w14:textFill>
                  <w14:solidFill>
                    <w14:schemeClr w14:val="bg1"/>
                  </w14:solidFill>
                </w14:textFill>
              </w:rPr>
            </w:pPr>
            <w:r>
              <w:rPr>
                <w:rFonts w:hint="eastAsia" w:ascii="微软雅黑" w:hAnsi="微软雅黑" w:eastAsia="微软雅黑" w:cs="宋体"/>
                <w:b/>
                <w:bCs/>
                <w:color w:val="FFFFFF" w:themeColor="background1"/>
                <w:kern w:val="0"/>
                <w:sz w:val="24"/>
                <w:szCs w:val="24"/>
                <w14:textFill>
                  <w14:solidFill>
                    <w14:schemeClr w14:val="bg1"/>
                  </w14:solidFill>
                </w14:textFill>
              </w:rPr>
              <w:t>费用</w:t>
            </w:r>
            <w:r>
              <w:rPr>
                <w:rFonts w:ascii="微软雅黑" w:hAnsi="微软雅黑" w:eastAsia="微软雅黑" w:cs="宋体"/>
                <w:b/>
                <w:bCs/>
                <w:color w:val="FFFFFF" w:themeColor="background1"/>
                <w:kern w:val="0"/>
                <w:sz w:val="24"/>
                <w:szCs w:val="24"/>
                <w14:textFill>
                  <w14:solidFill>
                    <w14:schemeClr w14:val="bg1"/>
                  </w14:solidFill>
                </w14:textFill>
              </w:rPr>
              <w:t>/Price</w:t>
            </w:r>
          </w:p>
        </w:tc>
        <w:tc>
          <w:tcPr>
            <w:tcW w:w="2434" w:type="dxa"/>
            <w:vAlign w:val="center"/>
          </w:tcPr>
          <w:p w14:paraId="4456AB4F">
            <w:pPr>
              <w:snapToGrid w:val="0"/>
              <w:jc w:val="center"/>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¥5280元</w:t>
            </w:r>
            <w:r>
              <w:rPr>
                <w:rFonts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人</w:t>
            </w:r>
          </w:p>
        </w:tc>
      </w:tr>
    </w:tbl>
    <w:p w14:paraId="49252EED">
      <w:pPr>
        <w:spacing w:before="156" w:beforeLines="50"/>
        <w:rPr>
          <w:rFonts w:hint="eastAsia" w:ascii="楷体" w:hAnsi="楷体" w:eastAsia="楷体" w:cs="微软雅黑"/>
          <w:bCs/>
          <w:color w:val="C00000"/>
          <w:sz w:val="20"/>
          <w:szCs w:val="20"/>
        </w:rPr>
      </w:pPr>
      <w:r>
        <w:rPr>
          <w:rFonts w:hint="eastAsia" w:ascii="楷体" w:hAnsi="楷体" w:eastAsia="楷体" w:cs="微软雅黑"/>
          <w:bCs/>
          <w:color w:val="C00000"/>
          <w:sz w:val="20"/>
          <w:szCs w:val="20"/>
        </w:rPr>
        <w:t>（* 说明: 本课程大纲仅针对上述排期，其他排期的课纲请另行下载后查看。）</w:t>
      </w:r>
    </w:p>
    <w:p w14:paraId="7D48F7C9">
      <w:pPr>
        <w:snapToGrid w:val="0"/>
        <w:rPr>
          <w:rFonts w:hint="eastAsia" w:ascii="微软雅黑" w:hAnsi="微软雅黑" w:eastAsia="微软雅黑"/>
          <w:sz w:val="20"/>
          <w:szCs w:val="20"/>
        </w:rPr>
      </w:pPr>
    </w:p>
    <w:p w14:paraId="0E67E108">
      <w:pPr>
        <w:snapToGrid w:val="0"/>
        <w:spacing w:line="288" w:lineRule="auto"/>
        <w:rPr>
          <w:rFonts w:hint="eastAsia" w:ascii="微软雅黑" w:hAnsi="微软雅黑" w:eastAsia="微软雅黑" w:cs="微软雅黑"/>
          <w:color w:val="404040" w:themeColor="text1" w:themeTint="BF"/>
          <w:kern w:val="0"/>
          <w:sz w:val="20"/>
          <w:szCs w:val="20"/>
          <w14:textFill>
            <w14:solidFill>
              <w14:schemeClr w14:val="tx1">
                <w14:lumMod w14:val="75000"/>
                <w14:lumOff w14:val="25000"/>
              </w14:schemeClr>
            </w14:solidFill>
          </w14:textFill>
        </w:rPr>
      </w:pPr>
    </w:p>
    <w:p w14:paraId="606699F9">
      <w:pPr>
        <w:snapToGrid w:val="0"/>
        <w:rPr>
          <w:rFonts w:hint="eastAsia" w:ascii="微软雅黑" w:hAnsi="微软雅黑" w:eastAsia="微软雅黑" w:cs="微软雅黑"/>
          <w:color w:val="2E74B5"/>
          <w:kern w:val="0"/>
          <w:sz w:val="20"/>
          <w:szCs w:val="20"/>
        </w:rPr>
      </w:pPr>
      <w:r>
        <w:rPr>
          <w:rFonts w:hint="eastAsia" w:ascii="微软雅黑" w:hAnsi="微软雅黑" w:eastAsia="微软雅黑" w:cs="宋体"/>
          <w:b/>
          <w:bCs/>
          <w:color w:val="2E74B5"/>
          <w:kern w:val="0"/>
          <w:sz w:val="26"/>
          <w:szCs w:val="26"/>
        </w:rPr>
        <w:t>全部排期/</w:t>
      </w:r>
      <w:r>
        <w:rPr>
          <w:rFonts w:ascii="微软雅黑" w:hAnsi="微软雅黑" w:eastAsia="微软雅黑" w:cs="宋体"/>
          <w:b/>
          <w:bCs/>
          <w:color w:val="2E74B5"/>
          <w:kern w:val="0"/>
          <w:sz w:val="26"/>
          <w:szCs w:val="26"/>
        </w:rPr>
        <w:t>Scheduling</w:t>
      </w:r>
    </w:p>
    <w:p w14:paraId="51B46C64">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北京：2025年09月17日-18日（牟老师）     |     上海：2025年11月14日-15日（牟老师）</w:t>
      </w:r>
    </w:p>
    <w:p w14:paraId="33956FB5">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 xml:space="preserve">深圳：2025年12月17日-18日（牟老师）       </w:t>
      </w:r>
    </w:p>
    <w:p w14:paraId="7D9DEE0E">
      <w:pPr>
        <w:rPr>
          <w:rFonts w:hint="eastAsia" w:ascii="楷体" w:hAnsi="楷体" w:eastAsia="楷体" w:cs="微软雅黑"/>
          <w:bCs/>
          <w:color w:val="C00000"/>
          <w:sz w:val="20"/>
          <w:szCs w:val="20"/>
        </w:rPr>
      </w:pPr>
      <w:r>
        <w:rPr>
          <w:rFonts w:hint="eastAsia" w:ascii="楷体" w:hAnsi="楷体" w:eastAsia="楷体" w:cs="微软雅黑"/>
          <w:bCs/>
          <w:color w:val="C00000"/>
          <w:sz w:val="20"/>
          <w:szCs w:val="20"/>
        </w:rPr>
        <w:t>（* 特别提醒：不同城市不同场次的授课讲师及大纲可能有差异，具体请务必参照对应场次的课程大纲内容。）</w:t>
      </w:r>
    </w:p>
    <w:p w14:paraId="1A443E58">
      <w:pPr>
        <w:rPr>
          <w:rFonts w:hint="eastAsia"/>
        </w:rPr>
      </w:pPr>
    </w:p>
    <w:p w14:paraId="24FF2222"/>
    <w:p w14:paraId="79BD2E0B">
      <w:r>
        <w:rPr>
          <w:rFonts w:ascii="微软雅黑" w:hAnsi="微软雅黑" w:eastAsia="微软雅黑" w:cs="微软雅黑"/>
          <w:b/>
          <w:color w:val="2E74B5"/>
          <w:sz w:val="26"/>
        </w:rPr>
        <w:t>课程概述/Overview</w:t>
      </w:r>
    </w:p>
    <w:p w14:paraId="1685F8BA">
      <w:r>
        <w:rPr>
          <w:rFonts w:ascii="微软雅黑" w:hAnsi="微软雅黑" w:eastAsia="微软雅黑" w:cs="微软雅黑"/>
          <w:b/>
          <w:color w:val="000000"/>
          <w:sz w:val="22"/>
        </w:rPr>
        <w:t>【课程收益】</w:t>
      </w:r>
    </w:p>
    <w:p w14:paraId="6445101F">
      <w:r>
        <w:rPr>
          <w:rFonts w:ascii="微软雅黑" w:hAnsi="微软雅黑" w:eastAsia="微软雅黑" w:cs="微软雅黑"/>
          <w:sz w:val="20"/>
        </w:rPr>
        <w:t>● 不是仅仅去“讲”，更多的是带着学员去“研讨总结”＋“模拟训练”，一场实战沟通谈判体验之旅；</w:t>
      </w:r>
    </w:p>
    <w:p w14:paraId="64BE3336">
      <w:r>
        <w:rPr>
          <w:rFonts w:ascii="微软雅黑" w:hAnsi="微软雅黑" w:eastAsia="微软雅黑" w:cs="微软雅黑"/>
          <w:sz w:val="20"/>
        </w:rPr>
        <w:t>● 版权落地工具-速成式人员培养，短效时间将“普通工作人”变成“专业沟通谈判专家”；</w:t>
      </w:r>
    </w:p>
    <w:p w14:paraId="3D894ECA">
      <w:r>
        <w:rPr>
          <w:rFonts w:ascii="微软雅黑" w:hAnsi="微软雅黑" w:eastAsia="微软雅黑" w:cs="微软雅黑"/>
          <w:sz w:val="20"/>
        </w:rPr>
        <w:t>● 关键沟通谈判影响步骤细致分解-从思维清晰，到具体言行动作标准清晰；</w:t>
      </w:r>
    </w:p>
    <w:p w14:paraId="2B968C45">
      <w:r>
        <w:rPr>
          <w:rFonts w:ascii="微软雅黑" w:hAnsi="微软雅黑" w:eastAsia="微软雅黑" w:cs="微软雅黑"/>
          <w:sz w:val="20"/>
        </w:rPr>
        <w:t>● 提炼总结沟通谈判策略路线-培训后可形成“基本工作方案指导手册”，且在课程中会教授如何逐步完善方案体系的后续管理方法；</w:t>
      </w:r>
    </w:p>
    <w:p w14:paraId="3033B5BB">
      <w:r>
        <w:rPr>
          <w:rFonts w:ascii="微软雅黑" w:hAnsi="微软雅黑" w:eastAsia="微软雅黑" w:cs="微软雅黑"/>
          <w:sz w:val="20"/>
        </w:rPr>
        <w:t>● 学会一套百变通用的沟通谈判思维，可举一反三式使用到企业多类沟通工作中。</w:t>
      </w:r>
    </w:p>
    <w:p w14:paraId="43270526"/>
    <w:p w14:paraId="00DB879D">
      <w:r>
        <w:rPr>
          <w:rFonts w:ascii="微软雅黑" w:hAnsi="微软雅黑" w:eastAsia="微软雅黑" w:cs="微软雅黑"/>
          <w:b/>
          <w:color w:val="000000"/>
          <w:sz w:val="22"/>
        </w:rPr>
        <w:t>【授课风格】</w:t>
      </w:r>
    </w:p>
    <w:p w14:paraId="7D6A4898">
      <w:r>
        <w:rPr>
          <w:rFonts w:ascii="微软雅黑" w:hAnsi="微软雅黑" w:eastAsia="微软雅黑" w:cs="微软雅黑"/>
          <w:sz w:val="20"/>
        </w:rPr>
        <w:t>擅长以咨询式培训视角，从落地应用产出结果为目标做系统课程设计。</w:t>
      </w:r>
    </w:p>
    <w:p w14:paraId="6B8F0E53">
      <w:r>
        <w:rPr>
          <w:rFonts w:ascii="微软雅黑" w:hAnsi="微软雅黑" w:eastAsia="微软雅黑" w:cs="微软雅黑"/>
          <w:sz w:val="20"/>
        </w:rPr>
        <w:t>课程紧密结合时代发展，以咨询式结果落地目标视角，做实效性培训辅导，内容实用、落地，配合大量实操做应用带练结合，配合课后练习工具长线后续成长支持，大大促进学习成果转化。</w:t>
      </w:r>
    </w:p>
    <w:p w14:paraId="1F902C93">
      <w:r>
        <w:rPr>
          <w:rFonts w:ascii="微软雅黑" w:hAnsi="微软雅黑" w:eastAsia="微软雅黑" w:cs="微软雅黑"/>
          <w:sz w:val="20"/>
        </w:rPr>
        <w:t>牟老师课堂互动性较强，形式丰富，课堂氛围热烈；注重课程实用度，课中经常以企业自身问题案例结合课堂技巧工具做现场问题解决方案设计、课程当下常常就可以有很多高效成果交付，结合课后作业建议与指导，常常给企业带来很多即时落地改变。</w:t>
      </w:r>
    </w:p>
    <w:p w14:paraId="14CAE3EA"/>
    <w:p w14:paraId="423D91BA">
      <w:r>
        <w:rPr>
          <w:rFonts w:ascii="微软雅黑" w:hAnsi="微软雅黑" w:eastAsia="微软雅黑" w:cs="微软雅黑"/>
          <w:b/>
          <w:color w:val="000000"/>
          <w:sz w:val="22"/>
        </w:rPr>
        <w:t>【课程对象】</w:t>
      </w:r>
    </w:p>
    <w:p w14:paraId="1E9CE55B">
      <w:r>
        <w:rPr>
          <w:rFonts w:ascii="微软雅黑" w:hAnsi="微软雅黑" w:eastAsia="微软雅黑" w:cs="微软雅黑"/>
          <w:sz w:val="20"/>
        </w:rPr>
        <w:t>管理人员、骨干精英、涉及沟通谈判岗位工作人员等</w:t>
      </w:r>
    </w:p>
    <w:p w14:paraId="69ADE00D"/>
    <w:p w14:paraId="53EAA4FC">
      <w:r>
        <w:rPr>
          <w:rFonts w:ascii="微软雅黑" w:hAnsi="微软雅黑" w:eastAsia="微软雅黑" w:cs="微软雅黑"/>
          <w:b/>
          <w:color w:val="000000"/>
          <w:sz w:val="22"/>
        </w:rPr>
        <w:t>【课程方式】</w:t>
      </w:r>
    </w:p>
    <w:p w14:paraId="2EA4ECF3">
      <w:r>
        <w:rPr>
          <w:rFonts w:ascii="微软雅黑" w:hAnsi="微软雅黑" w:eastAsia="微软雅黑" w:cs="微软雅黑"/>
          <w:sz w:val="20"/>
        </w:rPr>
        <w:t>讲师讲授，影视分析、案例讨论、互动交流，分组讨论，角色扮演、头脑风暴，现场辅导，自我觉察，行动方案</w:t>
      </w:r>
    </w:p>
    <w:p w14:paraId="166DC94B"/>
    <w:p w14:paraId="6B41FA21"/>
    <w:p w14:paraId="29ECF06D">
      <w:r>
        <w:rPr>
          <w:rFonts w:ascii="微软雅黑" w:hAnsi="微软雅黑" w:eastAsia="微软雅黑" w:cs="微软雅黑"/>
          <w:b/>
          <w:color w:val="2E74B5"/>
          <w:sz w:val="26"/>
        </w:rPr>
        <w:t>课程大纲/Outline</w:t>
      </w:r>
    </w:p>
    <w:p w14:paraId="6811AC88">
      <w:r>
        <w:rPr>
          <w:rFonts w:ascii="微软雅黑" w:hAnsi="微软雅黑" w:eastAsia="微软雅黑" w:cs="微软雅黑"/>
          <w:b/>
          <w:color w:val="000000"/>
          <w:sz w:val="22"/>
        </w:rPr>
        <w:t>第一讲 双赢沟通谈判心理分析指导工具</w:t>
      </w:r>
    </w:p>
    <w:p w14:paraId="2D960BDC">
      <w:r>
        <w:rPr>
          <w:rFonts w:ascii="微软雅黑" w:hAnsi="微软雅黑" w:eastAsia="微软雅黑" w:cs="微软雅黑"/>
          <w:sz w:val="20"/>
        </w:rPr>
        <w:t>◆ 双赢思维-工作心智模式管控</w:t>
      </w:r>
    </w:p>
    <w:p w14:paraId="78892639">
      <w:r>
        <w:rPr>
          <w:rFonts w:ascii="微软雅黑" w:hAnsi="微软雅黑" w:eastAsia="微软雅黑" w:cs="微软雅黑"/>
          <w:sz w:val="20"/>
        </w:rPr>
        <w:t>（导入个人独家注册版权工具：做3项核心能力实训）</w:t>
      </w:r>
    </w:p>
    <w:p w14:paraId="0BEED9F3">
      <w:r>
        <w:rPr>
          <w:rFonts w:ascii="微软雅黑" w:hAnsi="微软雅黑" w:eastAsia="微软雅黑" w:cs="微软雅黑"/>
          <w:sz w:val="20"/>
        </w:rPr>
        <w:t>1、自我思维与言行控制（变“本能”为“能力”）</w:t>
      </w:r>
    </w:p>
    <w:p w14:paraId="4045F644">
      <w:r>
        <w:rPr>
          <w:rFonts w:ascii="微软雅黑" w:hAnsi="微软雅黑" w:eastAsia="微软雅黑" w:cs="微软雅黑"/>
          <w:sz w:val="20"/>
        </w:rPr>
        <w:t>◎传统式沟通谈判思维能力模式分析</w:t>
      </w:r>
    </w:p>
    <w:p w14:paraId="744D583E">
      <w:r>
        <w:rPr>
          <w:rFonts w:ascii="微软雅黑" w:hAnsi="微软雅黑" w:eastAsia="微软雅黑" w:cs="微软雅黑"/>
          <w:sz w:val="20"/>
        </w:rPr>
        <w:t>◎双赢谈判的正确意识反应指导</w:t>
      </w:r>
    </w:p>
    <w:p w14:paraId="70EFDFB5">
      <w:r>
        <w:rPr>
          <w:rFonts w:ascii="微软雅黑" w:hAnsi="微软雅黑" w:eastAsia="微软雅黑" w:cs="微软雅黑"/>
          <w:sz w:val="20"/>
        </w:rPr>
        <w:t>◎“1分钟角色变身”谈判情景代入式训练</w:t>
      </w:r>
    </w:p>
    <w:p w14:paraId="4C2A1D4E">
      <w:r>
        <w:rPr>
          <w:rFonts w:ascii="微软雅黑" w:hAnsi="微软雅黑" w:eastAsia="微软雅黑" w:cs="微软雅黑"/>
          <w:sz w:val="20"/>
        </w:rPr>
        <w:t>2、调正关注“沟通对象”的视角（变“误解”为“理解”）</w:t>
      </w:r>
    </w:p>
    <w:p w14:paraId="102DA342">
      <w:r>
        <w:rPr>
          <w:rFonts w:ascii="微软雅黑" w:hAnsi="微软雅黑" w:eastAsia="微软雅黑" w:cs="微软雅黑"/>
          <w:sz w:val="20"/>
        </w:rPr>
        <w:t>◎沟通对象情绪与需求阶段特点分析与建议</w:t>
      </w:r>
    </w:p>
    <w:p w14:paraId="58B1B45C">
      <w:r>
        <w:rPr>
          <w:rFonts w:ascii="微软雅黑" w:hAnsi="微软雅黑" w:eastAsia="微软雅黑" w:cs="微软雅黑"/>
          <w:sz w:val="20"/>
        </w:rPr>
        <w:t>◎案例分析练习-焦虑式公关案例讨论</w:t>
      </w:r>
    </w:p>
    <w:p w14:paraId="43782E3B">
      <w:r>
        <w:rPr>
          <w:rFonts w:ascii="微软雅黑" w:hAnsi="微软雅黑" w:eastAsia="微软雅黑" w:cs="微软雅黑"/>
          <w:sz w:val="20"/>
        </w:rPr>
        <w:t>3、对沟通谈判过程有度驾驭（变“被动”为“主动”）</w:t>
      </w:r>
    </w:p>
    <w:p w14:paraId="02F54845">
      <w:r>
        <w:rPr>
          <w:rFonts w:ascii="微软雅黑" w:hAnsi="微软雅黑" w:eastAsia="微软雅黑" w:cs="微软雅黑"/>
          <w:sz w:val="20"/>
        </w:rPr>
        <w:t>◎互动逻辑设计</w:t>
      </w:r>
    </w:p>
    <w:p w14:paraId="5B4A2EF5">
      <w:r>
        <w:rPr>
          <w:rFonts w:ascii="微软雅黑" w:hAnsi="微软雅黑" w:eastAsia="微软雅黑" w:cs="微软雅黑"/>
          <w:sz w:val="20"/>
        </w:rPr>
        <w:t>◎发展节奏掌控</w:t>
      </w:r>
    </w:p>
    <w:p w14:paraId="2E2D683A">
      <w:r>
        <w:rPr>
          <w:rFonts w:ascii="微软雅黑" w:hAnsi="微软雅黑" w:eastAsia="微软雅黑" w:cs="微软雅黑"/>
          <w:sz w:val="20"/>
        </w:rPr>
        <w:t>◎言行尺度管理</w:t>
      </w:r>
    </w:p>
    <w:p w14:paraId="247AA114"/>
    <w:p w14:paraId="7FFD9A43">
      <w:r>
        <w:rPr>
          <w:rFonts w:ascii="微软雅黑" w:hAnsi="微软雅黑" w:eastAsia="微软雅黑" w:cs="微软雅黑"/>
          <w:b/>
          <w:color w:val="000000"/>
          <w:sz w:val="22"/>
        </w:rPr>
        <w:t>第二讲 双赢谈判5大要素（贯穿谈判全程的意识思维）</w:t>
      </w:r>
    </w:p>
    <w:p w14:paraId="4354E515">
      <w:r>
        <w:rPr>
          <w:rFonts w:ascii="微软雅黑" w:hAnsi="微软雅黑" w:eastAsia="微软雅黑" w:cs="微软雅黑"/>
          <w:sz w:val="20"/>
        </w:rPr>
        <w:t>1、共同利益点（双赢必备，合作核心）-表达习惯训练</w:t>
      </w:r>
    </w:p>
    <w:p w14:paraId="55F97ABB">
      <w:r>
        <w:rPr>
          <w:rFonts w:ascii="微软雅黑" w:hAnsi="微软雅黑" w:eastAsia="微软雅黑" w:cs="微软雅黑"/>
          <w:sz w:val="20"/>
        </w:rPr>
        <w:t>2、成交筹码（成败保障，储备充分）---系统打包准备</w:t>
      </w:r>
    </w:p>
    <w:p w14:paraId="5F94F7F0">
      <w:r>
        <w:rPr>
          <w:rFonts w:ascii="微软雅黑" w:hAnsi="微软雅黑" w:eastAsia="微软雅黑" w:cs="微软雅黑"/>
          <w:sz w:val="20"/>
        </w:rPr>
        <w:t>3、谈判路线（提前设计，框控场面）---三阶进度8步把控</w:t>
      </w:r>
    </w:p>
    <w:p w14:paraId="265BA667">
      <w:r>
        <w:rPr>
          <w:rFonts w:ascii="微软雅黑" w:hAnsi="微软雅黑" w:eastAsia="微软雅黑" w:cs="微软雅黑"/>
          <w:sz w:val="20"/>
        </w:rPr>
        <w:t>4、替代方案（有选择才有主动权）---绝路逢生后备</w:t>
      </w:r>
    </w:p>
    <w:p w14:paraId="5E2470D7">
      <w:r>
        <w:rPr>
          <w:rFonts w:ascii="微软雅黑" w:hAnsi="微软雅黑" w:eastAsia="微软雅黑" w:cs="微软雅黑"/>
          <w:sz w:val="20"/>
        </w:rPr>
        <w:t>5、相互需求强度（时刻自检，随时完善）---谈判结果评估参考</w:t>
      </w:r>
    </w:p>
    <w:p w14:paraId="0CA4F781"/>
    <w:p w14:paraId="3D12A29D">
      <w:r>
        <w:rPr>
          <w:rFonts w:ascii="微软雅黑" w:hAnsi="微软雅黑" w:eastAsia="微软雅黑" w:cs="微软雅黑"/>
          <w:b/>
          <w:color w:val="000000"/>
          <w:sz w:val="22"/>
        </w:rPr>
        <w:t>第三讲 双赢谈判策略路线之开局定调阶段</w:t>
      </w:r>
    </w:p>
    <w:p w14:paraId="676C96BD">
      <w:r>
        <w:rPr>
          <w:rFonts w:ascii="微软雅黑" w:hAnsi="微软雅黑" w:eastAsia="微软雅黑" w:cs="微软雅黑"/>
          <w:sz w:val="20"/>
        </w:rPr>
        <w:t>1、破冰篇</w:t>
      </w:r>
    </w:p>
    <w:p w14:paraId="38F0743F">
      <w:r>
        <w:rPr>
          <w:rFonts w:ascii="微软雅黑" w:hAnsi="微软雅黑" w:eastAsia="微软雅黑" w:cs="微软雅黑"/>
          <w:sz w:val="20"/>
        </w:rPr>
        <w:t>◆3个表达重点</w:t>
      </w:r>
    </w:p>
    <w:p w14:paraId="4372D3F2">
      <w:r>
        <w:rPr>
          <w:rFonts w:ascii="微软雅黑" w:hAnsi="微软雅黑" w:eastAsia="微软雅黑" w:cs="微软雅黑"/>
          <w:sz w:val="20"/>
        </w:rPr>
        <w:t>（1）抓住共同利益点</w:t>
      </w:r>
    </w:p>
    <w:p w14:paraId="0ED7851A">
      <w:r>
        <w:rPr>
          <w:rFonts w:ascii="微软雅黑" w:hAnsi="微软雅黑" w:eastAsia="微软雅黑" w:cs="微软雅黑"/>
          <w:sz w:val="20"/>
        </w:rPr>
        <w:t>（2）打消对方顾虑</w:t>
      </w:r>
    </w:p>
    <w:p w14:paraId="1A3C9930">
      <w:r>
        <w:rPr>
          <w:rFonts w:ascii="微软雅黑" w:hAnsi="微软雅黑" w:eastAsia="微软雅黑" w:cs="微软雅黑"/>
          <w:sz w:val="20"/>
        </w:rPr>
        <w:t>（3）创造良好的情感交流氛围</w:t>
      </w:r>
    </w:p>
    <w:p w14:paraId="17DC3AF3">
      <w:r>
        <w:rPr>
          <w:rFonts w:ascii="微软雅黑" w:hAnsi="微软雅黑" w:eastAsia="微软雅黑" w:cs="微软雅黑"/>
          <w:sz w:val="20"/>
        </w:rPr>
        <w:t>◆重要谈判的破冰细节考虑</w:t>
      </w:r>
    </w:p>
    <w:p w14:paraId="2C386823">
      <w:r>
        <w:rPr>
          <w:rFonts w:ascii="微软雅黑" w:hAnsi="微软雅黑" w:eastAsia="微软雅黑" w:cs="微软雅黑"/>
          <w:sz w:val="20"/>
        </w:rPr>
        <w:t>（1）地点</w:t>
      </w:r>
    </w:p>
    <w:p w14:paraId="324B5318">
      <w:r>
        <w:rPr>
          <w:rFonts w:ascii="微软雅黑" w:hAnsi="微软雅黑" w:eastAsia="微软雅黑" w:cs="微软雅黑"/>
          <w:sz w:val="20"/>
        </w:rPr>
        <w:t>（2）信息</w:t>
      </w:r>
    </w:p>
    <w:p w14:paraId="5AA2E7BD">
      <w:r>
        <w:rPr>
          <w:rFonts w:ascii="微软雅黑" w:hAnsi="微软雅黑" w:eastAsia="微软雅黑" w:cs="微软雅黑"/>
          <w:sz w:val="20"/>
        </w:rPr>
        <w:t>（案例视频讨论：换位思考）</w:t>
      </w:r>
    </w:p>
    <w:p w14:paraId="27643710">
      <w:r>
        <w:rPr>
          <w:rFonts w:ascii="微软雅黑" w:hAnsi="微软雅黑" w:eastAsia="微软雅黑" w:cs="微软雅黑"/>
          <w:sz w:val="20"/>
        </w:rPr>
        <w:t xml:space="preserve">2、探需篇  </w:t>
      </w:r>
    </w:p>
    <w:p w14:paraId="7D1F768A">
      <w:r>
        <w:rPr>
          <w:rFonts w:ascii="微软雅黑" w:hAnsi="微软雅黑" w:eastAsia="微软雅黑" w:cs="微软雅黑"/>
          <w:sz w:val="20"/>
        </w:rPr>
        <w:t>◆问全、问深、问透</w:t>
      </w:r>
    </w:p>
    <w:p w14:paraId="1C2A5C0C">
      <w:r>
        <w:rPr>
          <w:rFonts w:ascii="微软雅黑" w:hAnsi="微软雅黑" w:eastAsia="微软雅黑" w:cs="微软雅黑"/>
          <w:sz w:val="20"/>
        </w:rPr>
        <w:t xml:space="preserve"> --- 忌讳--连续问、直白问（关键问题做逻辑引导设计、做隐性伏笔提问）</w:t>
      </w:r>
    </w:p>
    <w:p w14:paraId="62EA3570">
      <w:r>
        <w:rPr>
          <w:rFonts w:ascii="微软雅黑" w:hAnsi="微软雅黑" w:eastAsia="微软雅黑" w:cs="微软雅黑"/>
          <w:sz w:val="20"/>
        </w:rPr>
        <w:t>◆探寻摸底的有效渠道</w:t>
      </w:r>
    </w:p>
    <w:p w14:paraId="7EE91EFE">
      <w:r>
        <w:rPr>
          <w:rFonts w:ascii="微软雅黑" w:hAnsi="微软雅黑" w:eastAsia="微软雅黑" w:cs="微软雅黑"/>
          <w:sz w:val="20"/>
        </w:rPr>
        <w:t xml:space="preserve">  第三方调研公司、合作提问清单、自媒体信息搜索、行业圈调研、实地考察等</w:t>
      </w:r>
    </w:p>
    <w:p w14:paraId="0F974852">
      <w:r>
        <w:rPr>
          <w:rFonts w:ascii="微软雅黑" w:hAnsi="微软雅黑" w:eastAsia="微软雅黑" w:cs="微软雅黑"/>
          <w:sz w:val="20"/>
        </w:rPr>
        <w:t>◆对话中探寻摸底常用四个提问引导技巧</w:t>
      </w:r>
    </w:p>
    <w:p w14:paraId="1C9E0839">
      <w:r>
        <w:rPr>
          <w:rFonts w:ascii="微软雅黑" w:hAnsi="微软雅黑" w:eastAsia="微软雅黑" w:cs="微软雅黑"/>
          <w:sz w:val="20"/>
        </w:rPr>
        <w:t>（1）开放式提问-搜寻信息（信任背景下方可提问）</w:t>
      </w:r>
    </w:p>
    <w:p w14:paraId="394FFA87">
      <w:r>
        <w:rPr>
          <w:rFonts w:ascii="微软雅黑" w:hAnsi="微软雅黑" w:eastAsia="微软雅黑" w:cs="微软雅黑"/>
          <w:sz w:val="20"/>
        </w:rPr>
        <w:t>（2）封闭式提问-锁定方向（确认需求达成共同--常配合感受关注分析）</w:t>
      </w:r>
    </w:p>
    <w:p w14:paraId="77D76623">
      <w:r>
        <w:rPr>
          <w:rFonts w:ascii="微软雅黑" w:hAnsi="微软雅黑" w:eastAsia="微软雅黑" w:cs="微软雅黑"/>
          <w:sz w:val="20"/>
        </w:rPr>
        <w:t>（3）横向提问-扩展信息面（确认信息问全--引导更多面思考反馈）</w:t>
      </w:r>
    </w:p>
    <w:p w14:paraId="54784989">
      <w:r>
        <w:rPr>
          <w:rFonts w:ascii="微软雅黑" w:hAnsi="微软雅黑" w:eastAsia="微软雅黑" w:cs="微软雅黑"/>
          <w:sz w:val="20"/>
        </w:rPr>
        <w:t xml:space="preserve">     辅助意义重塑技巧、正向思维引导技巧</w:t>
      </w:r>
    </w:p>
    <w:p w14:paraId="3F12B014">
      <w:r>
        <w:rPr>
          <w:rFonts w:ascii="微软雅黑" w:hAnsi="微软雅黑" w:eastAsia="微软雅黑" w:cs="微软雅黑"/>
          <w:sz w:val="20"/>
        </w:rPr>
        <w:t>（4）纵向提问-挖掘底层信息（确认信息问深问透--同步拆除不合理沟通期待立场）</w:t>
      </w:r>
    </w:p>
    <w:p w14:paraId="2AB466CC">
      <w:r>
        <w:rPr>
          <w:rFonts w:ascii="微软雅黑" w:hAnsi="微软雅黑" w:eastAsia="微软雅黑" w:cs="微软雅黑"/>
          <w:sz w:val="20"/>
        </w:rPr>
        <w:t>（小组真实工作案例--现场提问设计指导）</w:t>
      </w:r>
    </w:p>
    <w:p w14:paraId="42D79DAB">
      <w:r>
        <w:rPr>
          <w:rFonts w:ascii="微软雅黑" w:hAnsi="微软雅黑" w:eastAsia="微软雅黑" w:cs="微软雅黑"/>
          <w:sz w:val="20"/>
        </w:rPr>
        <w:t>3、价值篇</w:t>
      </w:r>
    </w:p>
    <w:p w14:paraId="598BD57C">
      <w:r>
        <w:rPr>
          <w:rFonts w:ascii="微软雅黑" w:hAnsi="微软雅黑" w:eastAsia="微软雅黑" w:cs="微软雅黑"/>
          <w:sz w:val="20"/>
        </w:rPr>
        <w:t>◆价值不到位，价格难认同</w:t>
      </w:r>
    </w:p>
    <w:p w14:paraId="58EFC526">
      <w:r>
        <w:rPr>
          <w:rFonts w:ascii="微软雅黑" w:hAnsi="微软雅黑" w:eastAsia="微软雅黑" w:cs="微软雅黑"/>
          <w:sz w:val="20"/>
        </w:rPr>
        <w:t>案例分析：3个价档背后的价值需求差异</w:t>
      </w:r>
    </w:p>
    <w:p w14:paraId="3EC3BF73">
      <w:r>
        <w:rPr>
          <w:rFonts w:ascii="微软雅黑" w:hAnsi="微软雅黑" w:eastAsia="微软雅黑" w:cs="微软雅黑"/>
          <w:sz w:val="20"/>
        </w:rPr>
        <w:t xml:space="preserve">◆价值传递两大核心原则 </w:t>
      </w:r>
    </w:p>
    <w:p w14:paraId="5F834B52">
      <w:r>
        <w:rPr>
          <w:rFonts w:ascii="微软雅黑" w:hAnsi="微软雅黑" w:eastAsia="微软雅黑" w:cs="微软雅黑"/>
          <w:sz w:val="20"/>
        </w:rPr>
        <w:t>价值需求排序分析</w:t>
      </w:r>
    </w:p>
    <w:p w14:paraId="41C31194">
      <w:r>
        <w:rPr>
          <w:rFonts w:ascii="微软雅黑" w:hAnsi="微软雅黑" w:eastAsia="微软雅黑" w:cs="微软雅黑"/>
          <w:sz w:val="20"/>
        </w:rPr>
        <w:t>影响心理账户--价值感知：开设心理账户</w:t>
      </w:r>
    </w:p>
    <w:p w14:paraId="2DC3A79C">
      <w:r>
        <w:rPr>
          <w:rFonts w:ascii="微软雅黑" w:hAnsi="微软雅黑" w:eastAsia="微软雅黑" w:cs="微软雅黑"/>
          <w:sz w:val="20"/>
        </w:rPr>
        <w:t xml:space="preserve">              价值关联：改变心理账户</w:t>
      </w:r>
    </w:p>
    <w:p w14:paraId="0AD8A7C6">
      <w:r>
        <w:rPr>
          <w:rFonts w:ascii="微软雅黑" w:hAnsi="微软雅黑" w:eastAsia="微软雅黑" w:cs="微软雅黑"/>
          <w:sz w:val="20"/>
        </w:rPr>
        <w:t>◆价值传递4级递进说服</w:t>
      </w:r>
    </w:p>
    <w:p w14:paraId="7D1A2063">
      <w:r>
        <w:rPr>
          <w:rFonts w:ascii="微软雅黑" w:hAnsi="微软雅黑" w:eastAsia="微软雅黑" w:cs="微软雅黑"/>
          <w:sz w:val="20"/>
        </w:rPr>
        <w:t>（1）价值锁定--情景匹配、利益匹配、强化独特不可替代性、实际例证</w:t>
      </w:r>
    </w:p>
    <w:p w14:paraId="4B82CCC1">
      <w:r>
        <w:rPr>
          <w:rFonts w:ascii="微软雅黑" w:hAnsi="微软雅黑" w:eastAsia="微软雅黑" w:cs="微软雅黑"/>
          <w:sz w:val="20"/>
        </w:rPr>
        <w:t>（2）价值替换--换焦点、换时间、换频道</w:t>
      </w:r>
    </w:p>
    <w:p w14:paraId="1775EC81">
      <w:r>
        <w:rPr>
          <w:rFonts w:ascii="微软雅黑" w:hAnsi="微软雅黑" w:eastAsia="微软雅黑" w:cs="微软雅黑"/>
          <w:sz w:val="20"/>
        </w:rPr>
        <w:t>（3）价值认同--局部价值认同、人情感化增分</w:t>
      </w:r>
    </w:p>
    <w:p w14:paraId="1E522412">
      <w:r>
        <w:rPr>
          <w:rFonts w:ascii="微软雅黑" w:hAnsi="微软雅黑" w:eastAsia="微软雅黑" w:cs="微软雅黑"/>
          <w:sz w:val="20"/>
        </w:rPr>
        <w:t>（4）价值固化--焦点聚集、反复轰炸</w:t>
      </w:r>
    </w:p>
    <w:p w14:paraId="5E5913FE">
      <w:r>
        <w:rPr>
          <w:rFonts w:ascii="微软雅黑" w:hAnsi="微软雅黑" w:eastAsia="微软雅黑" w:cs="微软雅黑"/>
          <w:sz w:val="20"/>
        </w:rPr>
        <w:t>（研讨：价值说服方案设计研讨）</w:t>
      </w:r>
    </w:p>
    <w:p w14:paraId="2F73F0AE"/>
    <w:p w14:paraId="24B27F06">
      <w:r>
        <w:rPr>
          <w:rFonts w:ascii="微软雅黑" w:hAnsi="微软雅黑" w:eastAsia="微软雅黑" w:cs="微软雅黑"/>
          <w:b/>
          <w:color w:val="000000"/>
          <w:sz w:val="22"/>
        </w:rPr>
        <w:t>第四讲  双赢谈判策略路线之中期磋商阶段</w:t>
      </w:r>
    </w:p>
    <w:p w14:paraId="7F3BC2D0">
      <w:r>
        <w:rPr>
          <w:rFonts w:ascii="微软雅黑" w:hAnsi="微软雅黑" w:eastAsia="微软雅黑" w:cs="微软雅黑"/>
          <w:sz w:val="20"/>
        </w:rPr>
        <w:t>1、讨价还价篇（这里的“价”不代表价格，合作条件、合作方案-统称为价）</w:t>
      </w:r>
    </w:p>
    <w:p w14:paraId="35439277">
      <w:r>
        <w:rPr>
          <w:rFonts w:ascii="微软雅黑" w:hAnsi="微软雅黑" w:eastAsia="微软雅黑" w:cs="微软雅黑"/>
          <w:sz w:val="20"/>
        </w:rPr>
        <w:t>（1）询价策略与建议</w:t>
      </w:r>
    </w:p>
    <w:p w14:paraId="682CAFE9">
      <w:r>
        <w:rPr>
          <w:rFonts w:ascii="微软雅黑" w:hAnsi="微软雅黑" w:eastAsia="微软雅黑" w:cs="微软雅黑"/>
          <w:sz w:val="20"/>
        </w:rPr>
        <w:t xml:space="preserve">     ---询价次数、询价内容、询价忌讳</w:t>
      </w:r>
    </w:p>
    <w:p w14:paraId="7FB0DB1B">
      <w:r>
        <w:rPr>
          <w:rFonts w:ascii="微软雅黑" w:hAnsi="微软雅黑" w:eastAsia="微软雅黑" w:cs="微软雅黑"/>
          <w:sz w:val="20"/>
        </w:rPr>
        <w:t>（2）比价差异与应对</w:t>
      </w:r>
    </w:p>
    <w:p w14:paraId="543B23F1">
      <w:r>
        <w:rPr>
          <w:rFonts w:ascii="微软雅黑" w:hAnsi="微软雅黑" w:eastAsia="微软雅黑" w:cs="微软雅黑"/>
          <w:sz w:val="20"/>
        </w:rPr>
        <w:t xml:space="preserve">   ---  历史比价、竞争比价、预算比价、性价比比价、成本比价、同行比价、试探比价</w:t>
      </w:r>
    </w:p>
    <w:p w14:paraId="4DBE5FEF">
      <w:r>
        <w:rPr>
          <w:rFonts w:ascii="微软雅黑" w:hAnsi="微软雅黑" w:eastAsia="微软雅黑" w:cs="微软雅黑"/>
          <w:sz w:val="20"/>
        </w:rPr>
        <w:t>（3）报价要点</w:t>
      </w:r>
    </w:p>
    <w:p w14:paraId="068AABAC">
      <w:r>
        <w:rPr>
          <w:rFonts w:ascii="微软雅黑" w:hAnsi="微软雅黑" w:eastAsia="微软雅黑" w:cs="微软雅黑"/>
          <w:sz w:val="20"/>
        </w:rPr>
        <w:t xml:space="preserve">    --- 报价时机、报价类型、三原则高度定价法、最好的报价标准、巧妙设计报价方式</w:t>
      </w:r>
    </w:p>
    <w:p w14:paraId="160C0E5B">
      <w:r>
        <w:rPr>
          <w:rFonts w:ascii="微软雅黑" w:hAnsi="微软雅黑" w:eastAsia="微软雅黑" w:cs="微软雅黑"/>
          <w:sz w:val="20"/>
        </w:rPr>
        <w:t>（4）还价原则</w:t>
      </w:r>
    </w:p>
    <w:p w14:paraId="21E43016">
      <w:r>
        <w:rPr>
          <w:rFonts w:ascii="微软雅黑" w:hAnsi="微软雅黑" w:eastAsia="微软雅黑" w:cs="微软雅黑"/>
          <w:sz w:val="20"/>
        </w:rPr>
        <w:t xml:space="preserve">    --- 不急于还价、还愿不还价、定位要准确、还价策略路线详解</w:t>
      </w:r>
    </w:p>
    <w:p w14:paraId="16FAF1BD">
      <w:r>
        <w:rPr>
          <w:rFonts w:ascii="微软雅黑" w:hAnsi="微软雅黑" w:eastAsia="微软雅黑" w:cs="微软雅黑"/>
          <w:sz w:val="20"/>
        </w:rPr>
        <w:t>（5）让价之八大策略</w:t>
      </w:r>
    </w:p>
    <w:p w14:paraId="040DB7E6">
      <w:r>
        <w:rPr>
          <w:rFonts w:ascii="微软雅黑" w:hAnsi="微软雅黑" w:eastAsia="微软雅黑" w:cs="微软雅黑"/>
          <w:sz w:val="20"/>
        </w:rPr>
        <w:t>（研讨：让价策略路线细化设计）</w:t>
      </w:r>
    </w:p>
    <w:p w14:paraId="4BE39056">
      <w:r>
        <w:rPr>
          <w:rFonts w:ascii="微软雅黑" w:hAnsi="微软雅黑" w:eastAsia="微软雅黑" w:cs="微软雅黑"/>
          <w:sz w:val="20"/>
        </w:rPr>
        <w:t>2、决策影响篇</w:t>
      </w:r>
    </w:p>
    <w:p w14:paraId="6B1F2B11">
      <w:r>
        <w:rPr>
          <w:rFonts w:ascii="微软雅黑" w:hAnsi="微软雅黑" w:eastAsia="微软雅黑" w:cs="微软雅黑"/>
          <w:sz w:val="20"/>
        </w:rPr>
        <w:t>◆关注随行者</w:t>
      </w:r>
    </w:p>
    <w:p w14:paraId="580ABF40">
      <w:r>
        <w:rPr>
          <w:rFonts w:ascii="微软雅黑" w:hAnsi="微软雅黑" w:eastAsia="微软雅黑" w:cs="微软雅黑"/>
          <w:sz w:val="20"/>
        </w:rPr>
        <w:t>类型1：主动随性应对建议</w:t>
      </w:r>
      <w:r>
        <w:rPr>
          <w:rFonts w:ascii="微软雅黑" w:hAnsi="微软雅黑" w:eastAsia="微软雅黑" w:cs="微软雅黑"/>
          <w:sz w:val="20"/>
        </w:rPr>
        <w:tab/>
      </w:r>
    </w:p>
    <w:p w14:paraId="35ACE3F3">
      <w:r>
        <w:rPr>
          <w:rFonts w:ascii="微软雅黑" w:hAnsi="微软雅黑" w:eastAsia="微软雅黑" w:cs="微软雅黑"/>
          <w:sz w:val="20"/>
        </w:rPr>
        <w:t>类型2：被动随行应对建议</w:t>
      </w:r>
    </w:p>
    <w:p w14:paraId="6D53C87B">
      <w:r>
        <w:rPr>
          <w:rFonts w:ascii="微软雅黑" w:hAnsi="微软雅黑" w:eastAsia="微软雅黑" w:cs="微软雅黑"/>
          <w:sz w:val="20"/>
        </w:rPr>
        <w:t>◆该不该给压力</w:t>
      </w:r>
    </w:p>
    <w:p w14:paraId="61E969EF">
      <w:r>
        <w:rPr>
          <w:rFonts w:ascii="微软雅黑" w:hAnsi="微软雅黑" w:eastAsia="微软雅黑" w:cs="微软雅黑"/>
          <w:sz w:val="20"/>
        </w:rPr>
        <w:t>大决策不压力--对方有考量商量程序的必须，此刻压力无意义</w:t>
      </w:r>
    </w:p>
    <w:p w14:paraId="12F42A9F">
      <w:r>
        <w:rPr>
          <w:rFonts w:ascii="微软雅黑" w:hAnsi="微软雅黑" w:eastAsia="微软雅黑" w:cs="微软雅黑"/>
          <w:sz w:val="20"/>
        </w:rPr>
        <w:t xml:space="preserve">              对方有专业判断，关键问题不清晰给压力，传递责任缺失印象</w:t>
      </w:r>
    </w:p>
    <w:p w14:paraId="7893A04F">
      <w:r>
        <w:rPr>
          <w:rFonts w:ascii="微软雅黑" w:hAnsi="微软雅黑" w:eastAsia="微软雅黑" w:cs="微软雅黑"/>
          <w:sz w:val="20"/>
        </w:rPr>
        <w:t xml:space="preserve">              对方思考期，被压力，感觉不被尊重</w:t>
      </w:r>
    </w:p>
    <w:p w14:paraId="1B9D1C52">
      <w:r>
        <w:rPr>
          <w:rFonts w:ascii="微软雅黑" w:hAnsi="微软雅黑" w:eastAsia="微软雅黑" w:cs="微软雅黑"/>
          <w:sz w:val="20"/>
        </w:rPr>
        <w:t>步骤进展成熟的沟通对象，可适度压力--有效压力促决策方法建议</w:t>
      </w:r>
    </w:p>
    <w:p w14:paraId="7F1E7CF7">
      <w:r>
        <w:rPr>
          <w:rFonts w:ascii="微软雅黑" w:hAnsi="微软雅黑" w:eastAsia="微软雅黑" w:cs="微软雅黑"/>
          <w:sz w:val="20"/>
        </w:rPr>
        <w:t>◆判断决策地点</w:t>
      </w:r>
    </w:p>
    <w:p w14:paraId="70B83B39">
      <w:r>
        <w:rPr>
          <w:rFonts w:ascii="微软雅黑" w:hAnsi="微软雅黑" w:eastAsia="微软雅黑" w:cs="微软雅黑"/>
          <w:sz w:val="20"/>
        </w:rPr>
        <w:t>预判决策干扰--提前准备预案</w:t>
      </w:r>
      <w:r>
        <w:rPr>
          <w:rFonts w:ascii="微软雅黑" w:hAnsi="微软雅黑" w:eastAsia="微软雅黑" w:cs="微软雅黑"/>
          <w:sz w:val="20"/>
        </w:rPr>
        <w:tab/>
      </w:r>
    </w:p>
    <w:p w14:paraId="1D9F144F">
      <w:r>
        <w:rPr>
          <w:rFonts w:ascii="微软雅黑" w:hAnsi="微软雅黑" w:eastAsia="微软雅黑" w:cs="微软雅黑"/>
          <w:sz w:val="20"/>
        </w:rPr>
        <w:t>设计引导方案--引导有利于我方优势的决策体系</w:t>
      </w:r>
    </w:p>
    <w:p w14:paraId="01737BDB">
      <w:r>
        <w:rPr>
          <w:rFonts w:ascii="微软雅黑" w:hAnsi="微软雅黑" w:eastAsia="微软雅黑" w:cs="微软雅黑"/>
          <w:sz w:val="20"/>
        </w:rPr>
        <w:t>3、突破僵局篇</w:t>
      </w:r>
    </w:p>
    <w:p w14:paraId="6CF29164">
      <w:r>
        <w:rPr>
          <w:rFonts w:ascii="微软雅黑" w:hAnsi="微软雅黑" w:eastAsia="微软雅黑" w:cs="微软雅黑"/>
          <w:sz w:val="20"/>
        </w:rPr>
        <w:t>——判断真僵局？假僵局？</w:t>
      </w:r>
    </w:p>
    <w:p w14:paraId="01AA01AB">
      <w:r>
        <w:rPr>
          <w:rFonts w:ascii="微软雅黑" w:hAnsi="微软雅黑" w:eastAsia="微软雅黑" w:cs="微软雅黑"/>
          <w:sz w:val="20"/>
        </w:rPr>
        <w:t>破局策略</w:t>
      </w:r>
    </w:p>
    <w:p w14:paraId="24FF787A">
      <w:r>
        <w:rPr>
          <w:rFonts w:ascii="微软雅黑" w:hAnsi="微软雅黑" w:eastAsia="微软雅黑" w:cs="微软雅黑"/>
          <w:sz w:val="20"/>
        </w:rPr>
        <w:t>假僵局：路线回顾总结与微表情分析</w:t>
      </w:r>
    </w:p>
    <w:p w14:paraId="2B56FBF3">
      <w:r>
        <w:rPr>
          <w:rFonts w:ascii="微软雅黑" w:hAnsi="微软雅黑" w:eastAsia="微软雅黑" w:cs="微软雅黑"/>
          <w:sz w:val="20"/>
        </w:rPr>
        <w:t xml:space="preserve">        套路反压--威逼利诱筹码夹击＋创码补充强化</w:t>
      </w:r>
    </w:p>
    <w:p w14:paraId="7174401B">
      <w:r>
        <w:rPr>
          <w:rFonts w:ascii="微软雅黑" w:hAnsi="微软雅黑" w:eastAsia="微软雅黑" w:cs="微软雅黑"/>
          <w:sz w:val="20"/>
        </w:rPr>
        <w:t>真僵局：事僵人不僵，缓和重探底；设计引再次约见的策略方案</w:t>
      </w:r>
    </w:p>
    <w:p w14:paraId="69819F9A">
      <w:r>
        <w:rPr>
          <w:rFonts w:ascii="微软雅黑" w:hAnsi="微软雅黑" w:eastAsia="微软雅黑" w:cs="微软雅黑"/>
          <w:b/>
          <w:color w:val="000000"/>
          <w:sz w:val="22"/>
        </w:rPr>
        <w:t>第五讲  双赢谈判策略路线之缔结签约阶段</w:t>
      </w:r>
    </w:p>
    <w:p w14:paraId="21A17E82">
      <w:r>
        <w:rPr>
          <w:rFonts w:ascii="微软雅黑" w:hAnsi="微软雅黑" w:eastAsia="微软雅黑" w:cs="微软雅黑"/>
          <w:sz w:val="20"/>
        </w:rPr>
        <w:t>1、合同篇</w:t>
      </w:r>
    </w:p>
    <w:p w14:paraId="2456DA9F">
      <w:r>
        <w:rPr>
          <w:rFonts w:ascii="微软雅黑" w:hAnsi="微软雅黑" w:eastAsia="微软雅黑" w:cs="微软雅黑"/>
          <w:sz w:val="20"/>
        </w:rPr>
        <w:t>——锁定合同条款</w:t>
      </w:r>
    </w:p>
    <w:p w14:paraId="5F74B6B0">
      <w:r>
        <w:rPr>
          <w:rFonts w:ascii="微软雅黑" w:hAnsi="微软雅黑" w:eastAsia="微软雅黑" w:cs="微软雅黑"/>
          <w:sz w:val="20"/>
        </w:rPr>
        <w:t>◆三个条件</w:t>
      </w:r>
    </w:p>
    <w:p w14:paraId="101B9F05">
      <w:r>
        <w:rPr>
          <w:rFonts w:ascii="微软雅黑" w:hAnsi="微软雅黑" w:eastAsia="微软雅黑" w:cs="微软雅黑"/>
          <w:sz w:val="20"/>
        </w:rPr>
        <w:t>满足主体条件、满足履约条件、满足法律条件</w:t>
      </w:r>
    </w:p>
    <w:p w14:paraId="43D2F6FE">
      <w:r>
        <w:rPr>
          <w:rFonts w:ascii="微软雅黑" w:hAnsi="微软雅黑" w:eastAsia="微软雅黑" w:cs="微软雅黑"/>
          <w:sz w:val="20"/>
        </w:rPr>
        <w:t>◆三个符合</w:t>
      </w:r>
    </w:p>
    <w:p w14:paraId="224428E1">
      <w:r>
        <w:rPr>
          <w:rFonts w:ascii="微软雅黑" w:hAnsi="微软雅黑" w:eastAsia="微软雅黑" w:cs="微软雅黑"/>
          <w:sz w:val="20"/>
        </w:rPr>
        <w:t>符合合同格式、符合法律、符合惯例</w:t>
      </w:r>
    </w:p>
    <w:p w14:paraId="18879A84">
      <w:r>
        <w:rPr>
          <w:rFonts w:ascii="微软雅黑" w:hAnsi="微软雅黑" w:eastAsia="微软雅黑" w:cs="微软雅黑"/>
          <w:sz w:val="20"/>
        </w:rPr>
        <w:t>◆关于谈判合同的几点建议</w:t>
      </w:r>
    </w:p>
    <w:p w14:paraId="5675A3D6">
      <w:r>
        <w:rPr>
          <w:rFonts w:ascii="微软雅黑" w:hAnsi="微软雅黑" w:eastAsia="微软雅黑" w:cs="微软雅黑"/>
          <w:sz w:val="20"/>
        </w:rPr>
        <w:t>起草合同以我为主</w:t>
      </w:r>
    </w:p>
    <w:p w14:paraId="29E4FD10">
      <w:r>
        <w:rPr>
          <w:rFonts w:ascii="微软雅黑" w:hAnsi="微软雅黑" w:eastAsia="微软雅黑" w:cs="微软雅黑"/>
          <w:sz w:val="20"/>
        </w:rPr>
        <w:t>条款分类处置（不利条款、有利条款、争议条款）</w:t>
      </w:r>
    </w:p>
    <w:p w14:paraId="5784CE2C">
      <w:r>
        <w:rPr>
          <w:rFonts w:ascii="微软雅黑" w:hAnsi="微软雅黑" w:eastAsia="微软雅黑" w:cs="微软雅黑"/>
          <w:sz w:val="20"/>
        </w:rPr>
        <w:t>风险条件性条款</w:t>
      </w:r>
    </w:p>
    <w:p w14:paraId="694171D3">
      <w:r>
        <w:rPr>
          <w:rFonts w:ascii="微软雅黑" w:hAnsi="微软雅黑" w:eastAsia="微软雅黑" w:cs="微软雅黑"/>
          <w:sz w:val="20"/>
        </w:rPr>
        <w:t>选择性条款</w:t>
      </w:r>
    </w:p>
    <w:p w14:paraId="178E9257">
      <w:r>
        <w:rPr>
          <w:rFonts w:ascii="微软雅黑" w:hAnsi="微软雅黑" w:eastAsia="微软雅黑" w:cs="微软雅黑"/>
          <w:sz w:val="20"/>
        </w:rPr>
        <w:t>双向认定条款</w:t>
      </w:r>
    </w:p>
    <w:p w14:paraId="262CE0F9">
      <w:r>
        <w:rPr>
          <w:rFonts w:ascii="微软雅黑" w:hAnsi="微软雅黑" w:eastAsia="微软雅黑" w:cs="微软雅黑"/>
          <w:sz w:val="20"/>
        </w:rPr>
        <w:t>◆合同当中集中好的谈判原则</w:t>
      </w:r>
    </w:p>
    <w:p w14:paraId="22E97688">
      <w:r>
        <w:rPr>
          <w:rFonts w:ascii="微软雅黑" w:hAnsi="微软雅黑" w:eastAsia="微软雅黑" w:cs="微软雅黑"/>
          <w:sz w:val="20"/>
        </w:rPr>
        <w:t>三分法原则、条件性原则、分步走原则</w:t>
      </w:r>
    </w:p>
    <w:p w14:paraId="1887D06C">
      <w:r>
        <w:rPr>
          <w:rFonts w:ascii="微软雅黑" w:hAnsi="微软雅黑" w:eastAsia="微软雅黑" w:cs="微软雅黑"/>
          <w:sz w:val="20"/>
        </w:rPr>
        <w:t>◆违约责任条款谈判时要注意的几点</w:t>
      </w:r>
    </w:p>
    <w:p w14:paraId="5906610E">
      <w:r>
        <w:rPr>
          <w:rFonts w:ascii="微软雅黑" w:hAnsi="微软雅黑" w:eastAsia="微软雅黑" w:cs="微软雅黑"/>
          <w:sz w:val="20"/>
        </w:rPr>
        <w:t>划定违约条件、交换违约条件划定违约责任范围、约定违约认定方式、违约责任承担方式、违约金和赔偿金要区别开、免责条款</w:t>
      </w:r>
    </w:p>
    <w:p w14:paraId="1B78E477">
      <w:r>
        <w:rPr>
          <w:rFonts w:ascii="微软雅黑" w:hAnsi="微软雅黑" w:eastAsia="微软雅黑" w:cs="微软雅黑"/>
          <w:sz w:val="20"/>
        </w:rPr>
        <w:t>2、签约篇</w:t>
      </w:r>
    </w:p>
    <w:p w14:paraId="612A84AB">
      <w:r>
        <w:rPr>
          <w:rFonts w:ascii="微软雅黑" w:hAnsi="微软雅黑" w:eastAsia="微软雅黑" w:cs="微软雅黑"/>
          <w:sz w:val="20"/>
        </w:rPr>
        <w:t>签约四三二一零原则</w:t>
      </w:r>
    </w:p>
    <w:p w14:paraId="12070C1A">
      <w:r>
        <w:rPr>
          <w:rFonts w:ascii="微软雅黑" w:hAnsi="微软雅黑" w:eastAsia="微软雅黑" w:cs="微软雅黑"/>
          <w:sz w:val="20"/>
        </w:rPr>
        <w:t>◆四平衡</w:t>
      </w:r>
    </w:p>
    <w:p w14:paraId="6F10BDC6">
      <w:r>
        <w:rPr>
          <w:rFonts w:ascii="微软雅黑" w:hAnsi="微软雅黑" w:eastAsia="微软雅黑" w:cs="微软雅黑"/>
          <w:sz w:val="20"/>
        </w:rPr>
        <w:t>利益要平衡、关系要平衡、心理要平衡、风险要平衡</w:t>
      </w:r>
    </w:p>
    <w:p w14:paraId="267FAE0C">
      <w:r>
        <w:rPr>
          <w:rFonts w:ascii="微软雅黑" w:hAnsi="微软雅黑" w:eastAsia="微软雅黑" w:cs="微软雅黑"/>
          <w:sz w:val="20"/>
        </w:rPr>
        <w:t>◆三一致</w:t>
      </w:r>
    </w:p>
    <w:p w14:paraId="01D0E5D9">
      <w:r>
        <w:rPr>
          <w:rFonts w:ascii="微软雅黑" w:hAnsi="微软雅黑" w:eastAsia="微软雅黑" w:cs="微软雅黑"/>
          <w:sz w:val="20"/>
        </w:rPr>
        <w:t>决策参考系要一致、价格参照系要一致、合作预期要一致</w:t>
      </w:r>
    </w:p>
    <w:p w14:paraId="2A6F1E6E">
      <w:r>
        <w:rPr>
          <w:rFonts w:ascii="微软雅黑" w:hAnsi="微软雅黑" w:eastAsia="微软雅黑" w:cs="微软雅黑"/>
          <w:sz w:val="20"/>
        </w:rPr>
        <w:t>◆两认同</w:t>
      </w:r>
    </w:p>
    <w:p w14:paraId="79B9280D">
      <w:r>
        <w:rPr>
          <w:rFonts w:ascii="微软雅黑" w:hAnsi="微软雅黑" w:eastAsia="微软雅黑" w:cs="微软雅黑"/>
          <w:sz w:val="20"/>
        </w:rPr>
        <w:t>各自高层已经同意、内部意见统一</w:t>
      </w:r>
    </w:p>
    <w:p w14:paraId="058A4068">
      <w:r>
        <w:rPr>
          <w:rFonts w:ascii="微软雅黑" w:hAnsi="微软雅黑" w:eastAsia="微软雅黑" w:cs="微软雅黑"/>
          <w:sz w:val="20"/>
        </w:rPr>
        <w:t>◆一临界</w:t>
      </w:r>
    </w:p>
    <w:p w14:paraId="0DEB446E">
      <w:r>
        <w:rPr>
          <w:rFonts w:ascii="微软雅黑" w:hAnsi="微软雅黑" w:eastAsia="微软雅黑" w:cs="微软雅黑"/>
          <w:sz w:val="20"/>
        </w:rPr>
        <w:t>谈判对象基本确定、稍有犹豫（对方没有犹豫说明我方没谈好）</w:t>
      </w:r>
    </w:p>
    <w:p w14:paraId="52E7335F">
      <w:r>
        <w:rPr>
          <w:rFonts w:ascii="微软雅黑" w:hAnsi="微软雅黑" w:eastAsia="微软雅黑" w:cs="微软雅黑"/>
          <w:sz w:val="20"/>
        </w:rPr>
        <w:t>◆零阻碍</w:t>
      </w:r>
    </w:p>
    <w:p w14:paraId="003C7AD3">
      <w:r>
        <w:rPr>
          <w:rFonts w:ascii="微软雅黑" w:hAnsi="微软雅黑" w:eastAsia="微软雅黑" w:cs="微软雅黑"/>
          <w:sz w:val="20"/>
        </w:rPr>
        <w:t>不存在明显的第三方阻挠、或更优惠条件</w:t>
      </w:r>
    </w:p>
    <w:p w14:paraId="53FF9A61">
      <w:r>
        <w:rPr>
          <w:rFonts w:ascii="微软雅黑" w:hAnsi="微软雅黑" w:eastAsia="微软雅黑" w:cs="微软雅黑"/>
          <w:sz w:val="20"/>
        </w:rPr>
        <w:t>——签约合作后的反应很重要</w:t>
      </w:r>
    </w:p>
    <w:p w14:paraId="00C2798A">
      <w:r>
        <w:rPr>
          <w:rFonts w:ascii="微软雅黑" w:hAnsi="微软雅黑" w:eastAsia="微软雅黑" w:cs="微软雅黑"/>
          <w:sz w:val="20"/>
        </w:rPr>
        <w:t>不恰当的合作反应，为后续留下系列隐患</w:t>
      </w:r>
    </w:p>
    <w:p w14:paraId="6C5EDF04">
      <w:r>
        <w:rPr>
          <w:rFonts w:ascii="微软雅黑" w:hAnsi="微软雅黑" w:eastAsia="微软雅黑" w:cs="微软雅黑"/>
          <w:sz w:val="20"/>
        </w:rPr>
        <w:t>正确反应建议与话术示范</w:t>
      </w:r>
    </w:p>
    <w:p w14:paraId="4A678DC7">
      <w:r>
        <w:rPr>
          <w:rFonts w:ascii="微软雅黑" w:hAnsi="微软雅黑" w:eastAsia="微软雅黑" w:cs="微软雅黑"/>
          <w:sz w:val="20"/>
        </w:rPr>
        <w:t>◆合作不是结束，而是工作的开始</w:t>
      </w:r>
    </w:p>
    <w:p w14:paraId="4ADF7BCE">
      <w:r>
        <w:rPr>
          <w:rFonts w:ascii="微软雅黑" w:hAnsi="微软雅黑" w:eastAsia="微软雅黑" w:cs="微软雅黑"/>
          <w:sz w:val="20"/>
        </w:rPr>
        <w:t>人际心理学启示--业务关系要长线经营，对工作促进价值无限</w:t>
      </w:r>
    </w:p>
    <w:p w14:paraId="21163AC0"/>
    <w:p w14:paraId="60B82462">
      <w:r>
        <w:rPr>
          <w:rFonts w:ascii="微软雅黑" w:hAnsi="微软雅黑" w:eastAsia="微软雅黑" w:cs="微软雅黑"/>
          <w:sz w:val="20"/>
        </w:rPr>
        <w:t>课程小结与答疑</w:t>
      </w:r>
    </w:p>
    <w:p w14:paraId="01B5F898"/>
    <w:p w14:paraId="1503A37D">
      <w:r>
        <w:rPr>
          <w:rFonts w:ascii="微软雅黑" w:hAnsi="微软雅黑" w:eastAsia="微软雅黑" w:cs="微软雅黑"/>
          <w:b/>
          <w:color w:val="000000"/>
          <w:sz w:val="22"/>
        </w:rPr>
        <w:t>课程结束</w:t>
      </w:r>
    </w:p>
    <w:p w14:paraId="71680D79"/>
    <w:p w14:paraId="79088433"/>
    <w:p w14:paraId="1C835668">
      <w:r>
        <w:rPr>
          <w:rFonts w:ascii="微软雅黑" w:hAnsi="微软雅黑" w:eastAsia="微软雅黑" w:cs="微软雅黑"/>
          <w:b/>
          <w:color w:val="2E74B5"/>
          <w:sz w:val="26"/>
        </w:rPr>
        <w:t>讲师介绍/Lecturer</w:t>
      </w:r>
    </w:p>
    <w:p w14:paraId="622A2813">
      <w:r>
        <w:rPr>
          <w:rFonts w:ascii="微软雅黑" w:hAnsi="微软雅黑" w:eastAsia="微软雅黑" w:cs="微软雅黑"/>
          <w:b/>
          <w:color w:val="000000"/>
          <w:sz w:val="22"/>
        </w:rPr>
        <w:t>牟老师</w:t>
      </w:r>
    </w:p>
    <w:p w14:paraId="5FAD0D52">
      <w:r>
        <w:rPr>
          <w:rFonts w:ascii="微软雅黑" w:hAnsi="微软雅黑" w:eastAsia="微软雅黑" w:cs="微软雅黑"/>
          <w:sz w:val="20"/>
        </w:rPr>
        <w:t>· 21年培训咨询实战工作经验</w:t>
      </w:r>
    </w:p>
    <w:p w14:paraId="1B2C175C">
      <w:r>
        <w:rPr>
          <w:rFonts w:ascii="微软雅黑" w:hAnsi="微软雅黑" w:eastAsia="微软雅黑" w:cs="微软雅黑"/>
          <w:sz w:val="20"/>
        </w:rPr>
        <w:t>· 10年独立操盘咨询项目执行经验</w:t>
      </w:r>
    </w:p>
    <w:p w14:paraId="02D654D7">
      <w:r>
        <w:rPr>
          <w:rFonts w:ascii="微软雅黑" w:hAnsi="微软雅黑" w:eastAsia="微软雅黑" w:cs="微软雅黑"/>
          <w:sz w:val="20"/>
        </w:rPr>
        <w:t>· 个人独家版权工具系统，颠覆传统视角</w:t>
      </w:r>
    </w:p>
    <w:p w14:paraId="420834E6"/>
    <w:p w14:paraId="332D4EFB"/>
    <w:p w14:paraId="610F367B">
      <w:r>
        <w:rPr>
          <w:rFonts w:ascii="微软雅黑" w:hAnsi="微软雅黑" w:eastAsia="微软雅黑" w:cs="微软雅黑"/>
          <w:b/>
          <w:color w:val="000000"/>
          <w:sz w:val="22"/>
        </w:rPr>
        <w:t>个人资历：</w:t>
      </w:r>
    </w:p>
    <w:p w14:paraId="756418F1">
      <w:r>
        <w:rPr>
          <w:rFonts w:ascii="微软雅黑" w:hAnsi="微软雅黑" w:eastAsia="微软雅黑" w:cs="微软雅黑"/>
          <w:sz w:val="20"/>
        </w:rPr>
        <w:t>· AACTP国际注册培训师</w:t>
      </w:r>
    </w:p>
    <w:p w14:paraId="4B81EC25">
      <w:r>
        <w:rPr>
          <w:rFonts w:ascii="微软雅黑" w:hAnsi="微软雅黑" w:eastAsia="微软雅黑" w:cs="微软雅黑"/>
          <w:sz w:val="20"/>
        </w:rPr>
        <w:t>· 国家二级心理咨询师</w:t>
      </w:r>
      <w:r>
        <w:rPr>
          <w:rFonts w:ascii="微软雅黑" w:hAnsi="微软雅黑" w:eastAsia="微软雅黑" w:cs="微软雅黑"/>
          <w:sz w:val="20"/>
        </w:rPr>
        <w:tab/>
      </w:r>
    </w:p>
    <w:p w14:paraId="3DEC77CC">
      <w:r>
        <w:rPr>
          <w:rFonts w:ascii="微软雅黑" w:hAnsi="微软雅黑" w:eastAsia="微软雅黑" w:cs="微软雅黑"/>
          <w:sz w:val="20"/>
        </w:rPr>
        <w:t>· 应用心理学实战落地专家</w:t>
      </w:r>
    </w:p>
    <w:p w14:paraId="4AB078D1">
      <w:r>
        <w:rPr>
          <w:rFonts w:ascii="微软雅黑" w:hAnsi="微软雅黑" w:eastAsia="微软雅黑" w:cs="微软雅黑"/>
          <w:sz w:val="20"/>
        </w:rPr>
        <w:t>· 中国企业教育“专业十佳培训师”</w:t>
      </w:r>
    </w:p>
    <w:p w14:paraId="5D342A3F">
      <w:r>
        <w:rPr>
          <w:rFonts w:ascii="微软雅黑" w:hAnsi="微软雅黑" w:eastAsia="微软雅黑" w:cs="微软雅黑"/>
          <w:sz w:val="20"/>
        </w:rPr>
        <w:t>· 中国企业培训“首选培训师100强”</w:t>
      </w:r>
    </w:p>
    <w:p w14:paraId="0DE874F1">
      <w:r>
        <w:rPr>
          <w:rFonts w:ascii="微软雅黑" w:hAnsi="微软雅黑" w:eastAsia="微软雅黑" w:cs="微软雅黑"/>
          <w:sz w:val="20"/>
        </w:rPr>
        <w:t>· 央视、凤凰卫视、赢家大讲堂、聚邦传媒、中和黄埔成长吧等多家黄金媒体平台合作讲师</w:t>
      </w:r>
    </w:p>
    <w:p w14:paraId="15494EAE"/>
    <w:p w14:paraId="62965905"/>
    <w:p w14:paraId="61B6D8AB">
      <w:r>
        <w:rPr>
          <w:rFonts w:ascii="微软雅黑" w:hAnsi="微软雅黑" w:eastAsia="微软雅黑" w:cs="微软雅黑"/>
          <w:b/>
          <w:color w:val="000000"/>
          <w:sz w:val="22"/>
        </w:rPr>
        <w:t>代表项目：</w:t>
      </w:r>
    </w:p>
    <w:p w14:paraId="4CF1797A">
      <w:r>
        <w:rPr>
          <w:rFonts w:ascii="微软雅黑" w:hAnsi="微软雅黑" w:eastAsia="微软雅黑" w:cs="微软雅黑"/>
          <w:sz w:val="20"/>
        </w:rPr>
        <w:t>“G20峰会接待定制项目-优质服务体验提升落地督导”总负责人（培训＋现场督导＋团队管理指导），因项目超好口碑在行业广泛传播，后续主动找来行内转介绍客户连续排挡2年多……</w:t>
      </w:r>
    </w:p>
    <w:p w14:paraId="47C904EE">
      <w:r>
        <w:rPr>
          <w:rFonts w:ascii="微软雅黑" w:hAnsi="微软雅黑" w:eastAsia="微软雅黑" w:cs="微软雅黑"/>
          <w:sz w:val="20"/>
        </w:rPr>
        <w:t>“奔驰CAM客户权益官”客诉管理系统（大赛主点评＋痛点问题解决强化训练营＋全国经销商系统岗位轮训＋内部岗位必修定制网课）全链条辅导老师</w:t>
      </w:r>
    </w:p>
    <w:p w14:paraId="35D31C50">
      <w:r>
        <w:rPr>
          <w:rFonts w:ascii="微软雅黑" w:hAnsi="微软雅黑" w:eastAsia="微软雅黑" w:cs="微软雅黑"/>
          <w:sz w:val="20"/>
        </w:rPr>
        <w:t>“卓越领导力◆八大工作场景实战落地管理”落地督导项目-10期轮训后，因效果好评反响巨大，在经销商多次申请下，品牌方又特别增加经费-加购了4期课程；后又因多位经销商申请学习，品牌方又在第二年，为该课程2次立项，又安排了8期课程轮训。</w:t>
      </w:r>
    </w:p>
    <w:p w14:paraId="51C43A8E">
      <w:r>
        <w:rPr>
          <w:rFonts w:ascii="微软雅黑" w:hAnsi="微软雅黑" w:eastAsia="微软雅黑" w:cs="微软雅黑"/>
          <w:sz w:val="20"/>
        </w:rPr>
        <w:t>“中信银行两高人才轮训项目”--《情绪压力管理》救场老师（在轮训项目先后调换了多位老师客户不满背景下，成功救场，得到客户高度认可好评，直接确定为后续轮训课程主讲老师，也因此课程合作影响，各地分行随后陆续邀约合作，从此开始了与中信银行多年系列合作--各地分行合作代表：广州、兰州、厦门、大连、长春、沈阳、承德、青岛、石家庄、济南、天津……等）</w:t>
      </w:r>
    </w:p>
    <w:p w14:paraId="0CA932F1">
      <w:r>
        <w:rPr>
          <w:rFonts w:ascii="微软雅黑" w:hAnsi="微软雅黑" w:eastAsia="微软雅黑" w:cs="微软雅黑"/>
          <w:sz w:val="20"/>
        </w:rPr>
        <w:t>“结果导向的落地管理”团队管理课程，多个行业客户重复采购，线下授课百场以上……</w:t>
      </w:r>
    </w:p>
    <w:p w14:paraId="761D68BC">
      <w:r>
        <w:rPr>
          <w:rFonts w:ascii="微软雅黑" w:hAnsi="微软雅黑" w:eastAsia="微软雅黑" w:cs="微软雅黑"/>
          <w:sz w:val="20"/>
        </w:rPr>
        <w:t>“高效团队◆业绩赋能”落地督导项目（原投标公司竞标落选，因客户指定必须由牟老师授课），中标公司不得通过原投标公司与老师合作完成项目轮训；首期试讲课-获得全场满分超高好评。</w:t>
      </w:r>
    </w:p>
    <w:p w14:paraId="27B3357D">
      <w:r>
        <w:rPr>
          <w:rFonts w:ascii="微软雅黑" w:hAnsi="微软雅黑" w:eastAsia="微软雅黑" w:cs="微软雅黑"/>
          <w:sz w:val="20"/>
        </w:rPr>
        <w:t>老师长期为金融证券、保险、汽车、能源重工、医疗行业进行培训授课，专注管理咨询培训21年。既有系统专业培训师成长经历，也有丰富企业实践职场经历；既有成熟课程现场授课经验，又有长达10年独立操盘咨询项目执行经验。</w:t>
      </w:r>
    </w:p>
    <w:p w14:paraId="1E06686E">
      <w:r>
        <w:rPr>
          <w:rFonts w:ascii="微软雅黑" w:hAnsi="微软雅黑" w:eastAsia="微软雅黑" w:cs="微软雅黑"/>
          <w:sz w:val="20"/>
        </w:rPr>
        <w:t>多次亲身参与实践督导工作，亲自操盘过多个原创督导项目，项目中创建了多个具备个人独特风格的督导落地方法系统。还应问题解决需求角度，以心理学为人性互动影响基石、以Ai科技赋能工作提效升质，研发大量原创高落地指导系统，，参训学习企业客户无不表示“被大大刷新视角，简化了问题解决，并能快速有效产生大量成果输出。”所以，老师课程经常被贴上“救场老师”“最实用课程老师”“高返聘”等多个超高培训效果评价标签。</w:t>
      </w:r>
    </w:p>
    <w:p w14:paraId="200CE0B6"/>
    <w:p w14:paraId="5BD54410"/>
    <w:p w14:paraId="6825A39A">
      <w:r>
        <w:rPr>
          <w:rFonts w:ascii="微软雅黑" w:hAnsi="微软雅黑" w:eastAsia="微软雅黑" w:cs="微软雅黑"/>
          <w:b/>
          <w:color w:val="000000"/>
          <w:sz w:val="22"/>
        </w:rPr>
        <w:t>最新定制热需课程</w:t>
      </w:r>
    </w:p>
    <w:p w14:paraId="3F8A809C">
      <w:r>
        <w:rPr>
          <w:rFonts w:ascii="微软雅黑" w:hAnsi="微软雅黑" w:eastAsia="微软雅黑" w:cs="微软雅黑"/>
          <w:sz w:val="20"/>
        </w:rPr>
        <w:t>《士气赋能-积极心态与结果落地执行保障能力训练》-沉浸式体验训练课</w:t>
      </w:r>
    </w:p>
    <w:p w14:paraId="6D3D53BD">
      <w:r>
        <w:rPr>
          <w:rFonts w:ascii="微软雅黑" w:hAnsi="微软雅黑" w:eastAsia="微软雅黑" w:cs="微软雅黑"/>
          <w:sz w:val="20"/>
        </w:rPr>
        <w:t>《责任胜于能力》---实用1天版精品管理课（职场关键沟通岗能力必备）</w:t>
      </w:r>
    </w:p>
    <w:p w14:paraId="6B7AA927">
      <w:r>
        <w:rPr>
          <w:rFonts w:ascii="微软雅黑" w:hAnsi="微软雅黑" w:eastAsia="微软雅黑" w:cs="微软雅黑"/>
          <w:sz w:val="20"/>
        </w:rPr>
        <w:t>《精英人才-“核心三力”特训工作坊》---2小时线上讲授＋6小时线下训练</w:t>
      </w:r>
    </w:p>
    <w:p w14:paraId="09728275"/>
    <w:p w14:paraId="7175C4F3"/>
    <w:p w14:paraId="139B9C84">
      <w:r>
        <w:rPr>
          <w:rFonts w:ascii="微软雅黑" w:hAnsi="微软雅黑" w:eastAsia="微软雅黑" w:cs="微软雅黑"/>
          <w:b/>
          <w:color w:val="000000"/>
          <w:sz w:val="22"/>
        </w:rPr>
        <w:t>咨询服务</w:t>
      </w:r>
    </w:p>
    <w:p w14:paraId="397CBB3D">
      <w:r>
        <w:rPr>
          <w:rFonts w:ascii="微软雅黑" w:hAnsi="微软雅黑" w:eastAsia="微软雅黑" w:cs="微软雅黑"/>
          <w:sz w:val="20"/>
        </w:rPr>
        <w:t>《“高情商领导力＋谈判”指导教练》-个案咨询项目年卡</w:t>
      </w:r>
    </w:p>
    <w:p w14:paraId="7ECF95B0">
      <w:r>
        <w:rPr>
          <w:rFonts w:ascii="微软雅黑" w:hAnsi="微软雅黑" w:eastAsia="微软雅黑" w:cs="微软雅黑"/>
          <w:sz w:val="20"/>
        </w:rPr>
        <w:t>《职场情压与心理健康管理》---微咨询（1天内训＋21天跟踪辅导）</w:t>
      </w:r>
    </w:p>
    <w:p w14:paraId="25F5490D">
      <w:r>
        <w:rPr>
          <w:rFonts w:ascii="微软雅黑" w:hAnsi="微软雅黑" w:eastAsia="微软雅黑" w:cs="微软雅黑"/>
          <w:sz w:val="20"/>
        </w:rPr>
        <w:t>《驾驭式-职场高效沟通与商务谈判-实战工作坊》---3天（演讲、述职、汇报、答辩、谈判等）</w:t>
      </w:r>
    </w:p>
    <w:p w14:paraId="67CC401A">
      <w:r>
        <w:rPr>
          <w:rFonts w:ascii="微软雅黑" w:hAnsi="微软雅黑" w:eastAsia="微软雅黑" w:cs="微软雅黑"/>
          <w:sz w:val="20"/>
        </w:rPr>
        <w:t>《职场效能沟通之“报联商”》实用1天版精品管理课（职场关键沟通岗能力必备）</w:t>
      </w:r>
    </w:p>
    <w:p w14:paraId="0DC0EB58">
      <w:r>
        <w:rPr>
          <w:rFonts w:ascii="微软雅黑" w:hAnsi="微软雅黑" w:eastAsia="微软雅黑" w:cs="微软雅黑"/>
          <w:sz w:val="20"/>
        </w:rPr>
        <w:t>《高效管理沟通》</w:t>
      </w:r>
    </w:p>
    <w:p w14:paraId="0EFD9F14"/>
    <w:p w14:paraId="07D42595"/>
    <w:p w14:paraId="06156A3F">
      <w:r>
        <w:rPr>
          <w:rFonts w:ascii="微软雅黑" w:hAnsi="微软雅黑" w:eastAsia="微软雅黑" w:cs="微软雅黑"/>
          <w:b/>
          <w:color w:val="000000"/>
          <w:sz w:val="22"/>
        </w:rPr>
        <w:t>品牌内训课程</w:t>
      </w:r>
    </w:p>
    <w:p w14:paraId="46C7DD27">
      <w:r>
        <w:rPr>
          <w:rFonts w:ascii="微软雅黑" w:hAnsi="微软雅黑" w:eastAsia="微软雅黑" w:cs="微软雅黑"/>
          <w:sz w:val="20"/>
        </w:rPr>
        <w:t>《双赢沟通谈判实战共创课堂》-营销谈判、客诉谈判、经销商谈判、商务合作谈判等</w:t>
      </w:r>
    </w:p>
    <w:p w14:paraId="5BF23E0B">
      <w:r>
        <w:rPr>
          <w:rFonts w:ascii="微软雅黑" w:hAnsi="微软雅黑" w:eastAsia="微软雅黑" w:cs="微软雅黑"/>
          <w:sz w:val="20"/>
        </w:rPr>
        <w:t>《双赢式-职场冲突化解与高效合作沟通》---中高层专业问题解决必备能力系统</w:t>
      </w:r>
    </w:p>
    <w:p w14:paraId="1CF71B89">
      <w:r>
        <w:rPr>
          <w:rFonts w:ascii="微软雅黑" w:hAnsi="微软雅黑" w:eastAsia="微软雅黑" w:cs="微软雅黑"/>
          <w:sz w:val="20"/>
        </w:rPr>
        <w:t>《客户价值呈现与服务体验升级思考》---未来企业竞争力核心（情感3.0服务时代--企业必学课）</w:t>
      </w:r>
    </w:p>
    <w:p w14:paraId="3755DA3D">
      <w:r>
        <w:rPr>
          <w:rFonts w:ascii="微软雅黑" w:hAnsi="微软雅黑" w:eastAsia="微软雅黑" w:cs="微软雅黑"/>
          <w:sz w:val="20"/>
        </w:rPr>
        <w:t>《实战落地式◆情商领导力》---中高层结果执行力保障</w:t>
      </w:r>
    </w:p>
    <w:p w14:paraId="3610B74D">
      <w:r>
        <w:rPr>
          <w:rFonts w:ascii="微软雅黑" w:hAnsi="微软雅黑" w:eastAsia="微软雅黑" w:cs="微软雅黑"/>
          <w:sz w:val="20"/>
        </w:rPr>
        <w:t xml:space="preserve">《AI思维赋能：沟通谈判36计-快速解决职场难题》---职场全员必修课    </w:t>
      </w:r>
    </w:p>
    <w:p w14:paraId="26A9A25E"/>
    <w:p w14:paraId="4C20F9BF"/>
    <w:p w14:paraId="5AC95E66">
      <w:r>
        <w:rPr>
          <w:rFonts w:ascii="微软雅黑" w:hAnsi="微软雅黑" w:eastAsia="微软雅黑" w:cs="微软雅黑"/>
          <w:b/>
          <w:color w:val="000000"/>
          <w:sz w:val="22"/>
        </w:rPr>
        <w:t>心理学赋能系列课程</w:t>
      </w:r>
    </w:p>
    <w:p w14:paraId="3A3ECB6D">
      <w:r>
        <w:rPr>
          <w:rFonts w:ascii="微软雅黑" w:hAnsi="微软雅黑" w:eastAsia="微软雅黑" w:cs="微软雅黑"/>
          <w:sz w:val="20"/>
        </w:rPr>
        <w:t>《职场情压与心理健康管理》</w:t>
      </w:r>
    </w:p>
    <w:p w14:paraId="087521B1">
      <w:r>
        <w:rPr>
          <w:rFonts w:ascii="微软雅黑" w:hAnsi="微软雅黑" w:eastAsia="微软雅黑" w:cs="微软雅黑"/>
          <w:sz w:val="20"/>
        </w:rPr>
        <w:t>《逆商-在工作困境中打造绝地反击的能力》</w:t>
      </w:r>
    </w:p>
    <w:p w14:paraId="62196309">
      <w:r>
        <w:rPr>
          <w:rFonts w:ascii="微软雅黑" w:hAnsi="微软雅黑" w:eastAsia="微软雅黑" w:cs="微软雅黑"/>
          <w:sz w:val="20"/>
        </w:rPr>
        <w:t>《基于心理学的-柜面沟通技术》</w:t>
      </w:r>
    </w:p>
    <w:p w14:paraId="0AD17232">
      <w:r>
        <w:rPr>
          <w:rFonts w:ascii="微软雅黑" w:hAnsi="微软雅黑" w:eastAsia="微软雅黑" w:cs="微软雅黑"/>
          <w:sz w:val="20"/>
        </w:rPr>
        <w:t>《心理学角度的--客服专业工作能力塑造》</w:t>
      </w:r>
    </w:p>
    <w:p w14:paraId="0E4B66D4">
      <w:r>
        <w:rPr>
          <w:rFonts w:ascii="微软雅黑" w:hAnsi="微软雅黑" w:eastAsia="微软雅黑" w:cs="微软雅黑"/>
          <w:sz w:val="20"/>
        </w:rPr>
        <w:t xml:space="preserve">《投诉心理疏导与疑难客户案例解析》  </w:t>
      </w:r>
    </w:p>
    <w:p w14:paraId="30F00854">
      <w:r>
        <w:rPr>
          <w:rFonts w:ascii="微软雅黑" w:hAnsi="微软雅黑" w:eastAsia="微软雅黑" w:cs="微软雅黑"/>
          <w:sz w:val="20"/>
        </w:rPr>
        <w:t xml:space="preserve">《心理学角度客户关系管理与客户忠诚满意度经营》 </w:t>
      </w:r>
    </w:p>
    <w:p w14:paraId="15B82A6A">
      <w:r>
        <w:rPr>
          <w:rFonts w:ascii="微软雅黑" w:hAnsi="微软雅黑" w:eastAsia="微软雅黑" w:cs="微软雅黑"/>
          <w:sz w:val="20"/>
        </w:rPr>
        <w:t>《人文关怀式营销服务与健康正能心理管理》</w:t>
      </w:r>
    </w:p>
    <w:p w14:paraId="0DE0FC02"/>
    <w:p w14:paraId="040CF6C0"/>
    <w:p w14:paraId="36B17D9C">
      <w:r>
        <w:rPr>
          <w:rFonts w:ascii="微软雅黑" w:hAnsi="微软雅黑" w:eastAsia="微软雅黑" w:cs="微软雅黑"/>
          <w:b/>
          <w:color w:val="000000"/>
          <w:sz w:val="22"/>
        </w:rPr>
        <w:t>专业谈判沟通系列课程</w:t>
      </w:r>
    </w:p>
    <w:p w14:paraId="7717A12F">
      <w:r>
        <w:rPr>
          <w:rFonts w:ascii="微软雅黑" w:hAnsi="微软雅黑" w:eastAsia="微软雅黑" w:cs="微软雅黑"/>
          <w:sz w:val="20"/>
        </w:rPr>
        <w:t xml:space="preserve">《销售谈判◆绩效提升助力系统》                 </w:t>
      </w:r>
    </w:p>
    <w:p w14:paraId="780072CC">
      <w:r>
        <w:rPr>
          <w:rFonts w:ascii="微软雅黑" w:hAnsi="微软雅黑" w:eastAsia="微软雅黑" w:cs="微软雅黑"/>
          <w:sz w:val="20"/>
        </w:rPr>
        <w:t xml:space="preserve">《顾问式销售-7步攻单谈判》                    </w:t>
      </w:r>
    </w:p>
    <w:p w14:paraId="712B3F6B">
      <w:r>
        <w:rPr>
          <w:rFonts w:ascii="微软雅黑" w:hAnsi="微软雅黑" w:eastAsia="微软雅黑" w:cs="微软雅黑"/>
          <w:sz w:val="20"/>
        </w:rPr>
        <w:t xml:space="preserve">《专业客诉谈判--关键要点分步细化指导》         </w:t>
      </w:r>
    </w:p>
    <w:p w14:paraId="5DD84060">
      <w:r>
        <w:rPr>
          <w:rFonts w:ascii="微软雅黑" w:hAnsi="微软雅黑" w:eastAsia="微软雅黑" w:cs="微软雅黑"/>
          <w:sz w:val="20"/>
        </w:rPr>
        <w:t>《“人文关怀式”客服沟通-服务管理落地实训》</w:t>
      </w:r>
    </w:p>
    <w:p w14:paraId="3E6907D6">
      <w:r>
        <w:rPr>
          <w:rFonts w:ascii="微软雅黑" w:hAnsi="微软雅黑" w:eastAsia="微软雅黑" w:cs="微软雅黑"/>
          <w:sz w:val="20"/>
        </w:rPr>
        <w:t>《呼叫中心--难点沟通对话落地共创课堂》</w:t>
      </w:r>
    </w:p>
    <w:p w14:paraId="03E7087F">
      <w:r>
        <w:rPr>
          <w:rFonts w:ascii="微软雅黑" w:hAnsi="微软雅黑" w:eastAsia="微软雅黑" w:cs="微软雅黑"/>
          <w:sz w:val="20"/>
        </w:rPr>
        <w:t>《管理者沟通技巧与方法◆如何开展谈心谈话》</w:t>
      </w:r>
    </w:p>
    <w:p w14:paraId="1D5E7089"/>
    <w:p w14:paraId="5DFEF5E5"/>
    <w:p w14:paraId="03BD86AF">
      <w:r>
        <w:rPr>
          <w:rFonts w:ascii="微软雅黑" w:hAnsi="微软雅黑" w:eastAsia="微软雅黑" w:cs="微软雅黑"/>
          <w:b/>
          <w:color w:val="000000"/>
          <w:sz w:val="22"/>
        </w:rPr>
        <w:t>综合管理系列课程</w:t>
      </w:r>
    </w:p>
    <w:p w14:paraId="00E1EC9F">
      <w:r>
        <w:rPr>
          <w:rFonts w:ascii="微软雅黑" w:hAnsi="微软雅黑" w:eastAsia="微软雅黑" w:cs="微软雅黑"/>
          <w:sz w:val="20"/>
        </w:rPr>
        <w:t>《练好“四力”打胜仗》</w:t>
      </w:r>
    </w:p>
    <w:p w14:paraId="3735D1F5">
      <w:r>
        <w:rPr>
          <w:rFonts w:ascii="微软雅黑" w:hAnsi="微软雅黑" w:eastAsia="微软雅黑" w:cs="微软雅黑"/>
          <w:sz w:val="20"/>
        </w:rPr>
        <w:t>《团队管理-系统赋能》</w:t>
      </w:r>
    </w:p>
    <w:p w14:paraId="65AADBE4">
      <w:r>
        <w:rPr>
          <w:rFonts w:ascii="微软雅黑" w:hAnsi="微软雅黑" w:eastAsia="微软雅黑" w:cs="微软雅黑"/>
          <w:sz w:val="20"/>
        </w:rPr>
        <w:t>《卓越领导力◆八大工作场景实战落地指导》</w:t>
      </w:r>
    </w:p>
    <w:p w14:paraId="76F1A98D">
      <w:r>
        <w:rPr>
          <w:rFonts w:ascii="微软雅黑" w:hAnsi="微软雅黑" w:eastAsia="微软雅黑" w:cs="微软雅黑"/>
          <w:sz w:val="20"/>
        </w:rPr>
        <w:t>《角色转变与职业化塑造》</w:t>
      </w:r>
    </w:p>
    <w:p w14:paraId="33A17213">
      <w:r>
        <w:rPr>
          <w:rFonts w:ascii="微软雅黑" w:hAnsi="微软雅黑" w:eastAsia="微软雅黑" w:cs="微软雅黑"/>
          <w:sz w:val="20"/>
        </w:rPr>
        <w:t>《客观化思维与高绩效管理》</w:t>
      </w:r>
    </w:p>
    <w:p w14:paraId="08C3E759">
      <w:r>
        <w:rPr>
          <w:rFonts w:ascii="微软雅黑" w:hAnsi="微软雅黑" w:eastAsia="微软雅黑" w:cs="微软雅黑"/>
          <w:sz w:val="20"/>
        </w:rPr>
        <w:t>《精英人才-能力思维培养与全方位工作落地应用》</w:t>
      </w:r>
    </w:p>
    <w:p w14:paraId="35E5D070"/>
    <w:p w14:paraId="5949DDDF"/>
    <w:p w14:paraId="36EF3515">
      <w:r>
        <w:rPr>
          <w:rFonts w:ascii="微软雅黑" w:hAnsi="微软雅黑" w:eastAsia="微软雅黑" w:cs="微软雅黑"/>
          <w:b/>
          <w:color w:val="000000"/>
          <w:sz w:val="22"/>
        </w:rPr>
        <w:t>授课风格：</w:t>
      </w:r>
    </w:p>
    <w:p w14:paraId="64BD43DD">
      <w:r>
        <w:rPr>
          <w:rFonts w:ascii="微软雅黑" w:hAnsi="微软雅黑" w:eastAsia="微软雅黑" w:cs="微软雅黑"/>
          <w:sz w:val="20"/>
        </w:rPr>
        <w:t>擅长以咨询式培训视角，从落地应用产出结果为目标做系统课程设计。</w:t>
      </w:r>
    </w:p>
    <w:p w14:paraId="1C6E1B27">
      <w:r>
        <w:rPr>
          <w:rFonts w:ascii="微软雅黑" w:hAnsi="微软雅黑" w:eastAsia="微软雅黑" w:cs="微软雅黑"/>
          <w:sz w:val="20"/>
        </w:rPr>
        <w:t>课程紧密结合时代发展，以咨询式结果落地目标视角，做实效性培训辅导，内容实用、落地，配合大量实操做应用带练结合，配合课后练习工具长线后续成长支持，大大促进学习成果转化。</w:t>
      </w:r>
    </w:p>
    <w:p w14:paraId="5493D6DB">
      <w:r>
        <w:rPr>
          <w:rFonts w:ascii="微软雅黑" w:hAnsi="微软雅黑" w:eastAsia="微软雅黑" w:cs="微软雅黑"/>
          <w:sz w:val="20"/>
        </w:rPr>
        <w:t>牟老师课堂互动性较强，形式丰富，课堂氛围热烈；注重课程实用度，课中经常以企业自身问题案例结合课堂技巧工具做现场问题解决方案设计、课程当下常常就可以有很多高效成果交付，结合课后作业建议与指导，常常给企业带来很多即时落地改变。</w:t>
      </w:r>
    </w:p>
    <w:p w14:paraId="34BE2E4E"/>
    <w:p w14:paraId="00D2B1CE"/>
    <w:p w14:paraId="2C926ED8">
      <w:r>
        <w:rPr>
          <w:rFonts w:ascii="微软雅黑" w:hAnsi="微软雅黑" w:eastAsia="微软雅黑" w:cs="微软雅黑"/>
          <w:b/>
          <w:color w:val="000000"/>
          <w:sz w:val="22"/>
        </w:rPr>
        <w:t>服务客户：</w:t>
      </w:r>
    </w:p>
    <w:p w14:paraId="06E9E6EA">
      <w:r>
        <w:rPr>
          <w:rFonts w:ascii="微软雅黑" w:hAnsi="微软雅黑" w:eastAsia="微软雅黑" w:cs="微软雅黑"/>
          <w:sz w:val="20"/>
        </w:rPr>
        <w:t>金融保险：国投集团、湖北消费金融、中信保诚、中国人保、中国人寿、太平保险、平安保险、泰康保险等；中信银行战略合作（总行每年合作、各地分行合作代表：广州、兰州、厦门、大连、长春、沈阳、承德、青岛、石家庄、济南、天津、呼和浩特）、中银富登村镇银行-通过竞标试讲好评后轮训深度合作6年、农业银行多次项目合作（分行代表-珠海、温州、大连、北京、西藏拉萨、克拉玛依、乌鲁木齐）、邮储（沈阳、大连、青海）、招行多次合作（济南、青岛、北京、厦门、东营）、北京工行、建设银行（北京、济南）、中国银行（大连、北京）、北京农商行、北京浦发银行、北京银行、济南交通银行、民生银行（大连、北京）、大连深发展银行、丹东银行（多批轮训）、石家庄银行、郑州银行（多批轮训）、哈尔滨银行、太原银行、农信社（内蒙、兰州）、莱商银行（轮训多批次）、兴业银行、保定银行等</w:t>
      </w:r>
    </w:p>
    <w:p w14:paraId="22024926">
      <w:r>
        <w:rPr>
          <w:rFonts w:ascii="微软雅黑" w:hAnsi="微软雅黑" w:eastAsia="微软雅黑" w:cs="微软雅黑"/>
          <w:sz w:val="20"/>
        </w:rPr>
        <w:t>煤电重工：北京电力党校（多次合作）、国家电网（合作多系统）-深圳、兰州、大连、朝阳、旅顺、庄河、沈阳、内蒙古……、供电公司（合作多系统）-长海、包头、普兰店、朝阳、长春、甘肃、西安、辽阳……华北电力大学合作多年（甘肃电力合作项目、一般管理干部培训等）、北京国网电力、北京中交重工、三一重工、中国煤炭科工集团、神华集团、焦煤集团、盛源集团、城建集团、鞍钢集团、大连港集团、大连造船厂、大庆油田（复购课程多次）、中石油、中石化等</w:t>
      </w:r>
    </w:p>
    <w:p w14:paraId="0CECF94C">
      <w:r>
        <w:rPr>
          <w:rFonts w:ascii="微软雅黑" w:hAnsi="微软雅黑" w:eastAsia="微软雅黑" w:cs="微软雅黑"/>
          <w:sz w:val="20"/>
        </w:rPr>
        <w:t>汽车行业：奔驰（多次内部大赛外聘主点评老师、大赛决赛20强选手集训营主讲老师、全国经销</w:t>
      </w:r>
    </w:p>
    <w:p w14:paraId="35CAEB40">
      <w:r>
        <w:rPr>
          <w:rFonts w:ascii="微软雅黑" w:hAnsi="微软雅黑" w:eastAsia="微软雅黑" w:cs="微软雅黑"/>
          <w:sz w:val="20"/>
        </w:rPr>
        <w:t>商轮训项目、内部岗位必修定制网课）、奥迪（总部公开课、经销商营销管理赋能轮训、4S店销售顾问轮训）、宝马中国.北京总公司（沙龙课、内训课合作）、一汽集团4年轮训项目-1500人百批轮训、一汽系统其他公司（红旗、解放、模具、物流、招商公司……等多次返聘合作）、丰田汽车（成都、长春）、凯翼汽车（多次返聘）、奇瑞大学、双安驾校（深入咨询辅导2年）</w:t>
      </w:r>
    </w:p>
    <w:p w14:paraId="507A6CC0">
      <w:r>
        <w:rPr>
          <w:rFonts w:ascii="微软雅黑" w:hAnsi="微软雅黑" w:eastAsia="微软雅黑" w:cs="微软雅黑"/>
          <w:sz w:val="20"/>
        </w:rPr>
        <w:t>医药行业：杭州G20国际峰会-医疗接待服务定制项目（2000人轮训＋落地辅导）、浙二国际医院全员服务培训（轮训＋落地辅导）、北大人民医院（医患沟通试点项目）、内蒙古宝山医院（全员轮训＋落地辅导）、门头沟医院、健宫医院、北京中日友好医院、北京721航天中心医院、北京307医院、北京平谷区中医院、北京怀柔医院、辽电中心医院、哈尔滨铁力医院、佳木斯宝泉岭医院、辽宁丹东中心医院、北京航天总医院、大连爱德整形、慈铭体检中心、阳光体检中心、修正药业、乐仁堂集团等</w:t>
      </w:r>
    </w:p>
    <w:p w14:paraId="20D20E46">
      <w:r>
        <w:rPr>
          <w:rFonts w:ascii="微软雅黑" w:hAnsi="微软雅黑" w:eastAsia="微软雅黑" w:cs="微软雅黑"/>
          <w:sz w:val="20"/>
        </w:rPr>
        <w:t>家居建材：杭州顾家家居，北京居然之家、上海加德尼亚瓷砖（培训＋咨询）、大连LG电子、长春国美电器、青岛海尔集团、美的家中（系列轮训）、中国暖通商学院、格力中央空调、大金空调、日立中央空调、海信中央空调、广东华宁装饰、东莱京东家电、德国领致空气能、鲁尔地暖、威固iQUE居家膜、惠普热壁挂炉、重庆新世纪百货、万家福连锁超市、北京六采同创（3个月培训＋咨询）等</w:t>
      </w:r>
    </w:p>
    <w:p w14:paraId="4F187C4D">
      <w:r>
        <w:rPr>
          <w:rFonts w:ascii="微软雅黑" w:hAnsi="微软雅黑" w:eastAsia="微软雅黑" w:cs="微软雅黑"/>
          <w:sz w:val="20"/>
        </w:rPr>
        <w:t>其他：北京清华大学总裁班、中国移动、中国联通、搜狐、北京雍和宫、中储粮、茅台酒业、北京楼宇IT公司、天津康师傅、可口可乐、万达集团（多次返聘）、万科集团（多次返聘）、亿达集团（多次返聘）、广东创鸿集团（多次返聘）、上海中南置地、大连软件园（多次返聘合作）、佰盛集团（多次返聘）、北京首发集团（多个轮训项目、内部光盘指定授课老师）、中铁21局、苏嘉杭高速公路、天津高速公路、山西高速公路、首都机场、西安机场、宁夏机场等等</w:t>
      </w:r>
    </w:p>
    <w:p w14:paraId="1FC5D73E"/>
    <w:p w14:paraId="4914EB00"/>
    <w:sectPr>
      <w:headerReference r:id="rId4" w:type="first"/>
      <w:headerReference r:id="rId3" w:type="default"/>
      <w:type w:val="continuous"/>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0245F">
    <w:pPr>
      <w:pStyle w:val="4"/>
      <w:pBdr>
        <w:bottom w:val="single" w:color="D8D8D8" w:themeColor="background1" w:themeShade="D9" w:sz="6" w:space="8"/>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29BE3">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jcxMDVjNTU5Y2FhZTRlYjE1Y2IxMzE4ZWZiMmMifQ=="/>
  </w:docVars>
  <w:rsids>
    <w:rsidRoot w:val="00000000"/>
    <w:rsid w:val="7A9B61A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99"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widowControl/>
      <w:spacing w:before="240" w:after="60"/>
      <w:jc w:val="left"/>
      <w:outlineLvl w:val="2"/>
    </w:pPr>
    <w:rPr>
      <w:rFonts w:ascii="Arial" w:hAnsi="Arial"/>
      <w:b/>
      <w:bCs/>
      <w:kern w:val="0"/>
      <w:sz w:val="26"/>
      <w:szCs w:val="26"/>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qFormat/>
    <w:uiPriority w:val="99"/>
    <w:rPr>
      <w:sz w:val="18"/>
      <w:szCs w:val="18"/>
    </w:rPr>
  </w:style>
  <w:style w:type="character" w:customStyle="1" w:styleId="9">
    <w:name w:val="页脚 字符"/>
    <w:basedOn w:val="7"/>
    <w:qFormat/>
    <w:uiPriority w:val="99"/>
    <w:rPr>
      <w:sz w:val="18"/>
      <w:szCs w:val="18"/>
    </w:rPr>
  </w:style>
  <w:style w:type="table" w:customStyle="1" w:styleId="10">
    <w:name w:val="无格式表格 1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styleId="11">
    <w:name w:val="List Paragraph"/>
    <w:basedOn w:val="1"/>
    <w:qFormat/>
    <w:uiPriority w:val="34"/>
    <w:pPr>
      <w:ind w:firstLine="420" w:firstLineChars="200"/>
    </w:pPr>
  </w:style>
  <w:style w:type="paragraph" w:customStyle="1" w:styleId="12">
    <w:name w:val="列出段落1"/>
    <w:basedOn w:val="1"/>
    <w:qFormat/>
    <w:uiPriority w:val="99"/>
    <w:pPr>
      <w:ind w:firstLine="420" w:firstLineChars="200"/>
    </w:pPr>
  </w:style>
  <w:style w:type="paragraph" w:customStyle="1" w:styleId="13">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军伟 陈</cp:lastModifiedBy>
  <cp:revision>284</cp:revision>
  <dcterms:created xsi:type="dcterms:W3CDTF">2021-12-30T11:55:00Z</dcterms:created>
  <dcterms:modified xsi:type="dcterms:W3CDTF">2025-02-19T10:08:00Z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28</TotalTime>
  <Pages>1</Pages>
  <Words>22</Words>
  <Characters>127</Characters>
  <Application>Microsoft Office Word</Application>
  <DocSecurity>0</DocSecurity>
  <Lines>1</Lines>
  <Paragraphs>1</Paragraphs>
  <ScaleCrop>false</ScaleCrop>
  <Company/>
  <LinksUpToDate>false</LinksUpToDate>
  <CharactersWithSpaces>148</CharactersWithSpaces>
  <SharedDoc>false</SharedDoc>
  <HyperlinksChanged>false</HyperlinksChanged>
  <AppVersion>16.0000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军伟 陈</cp:lastModifiedBy>
  <cp:revision>269</cp:revision>
  <dcterms:created xsi:type="dcterms:W3CDTF">2021-12-30T11:55:00Z</dcterms:created>
  <dcterms:modified xsi:type="dcterms:W3CDTF">2024-11-27T13:20:00Z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8.xml><?xml version="1.0" encoding="utf-8"?>
<Properties xmlns="http://schemas.openxmlformats.org/officeDocument/2006/extended-properties" xmlns:vt="http://schemas.openxmlformats.org/officeDocument/2006/docPropsVTypes">
  <Template>Normal.dotm</Template>
  <TotalTime>37</TotalTime>
  <Pages>1</Pages>
  <Words>28</Words>
  <Characters>165</Characters>
  <Application>Microsoft Office Word</Application>
  <DocSecurity>0</DocSecurity>
  <Lines>1</Lines>
  <Paragraphs>1</Paragraphs>
  <ScaleCrop>false</ScaleCrop>
  <Company/>
  <LinksUpToDate>false</LinksUpToDate>
  <CharactersWithSpaces>192</CharactersWithSpaces>
  <SharedDoc>false</SharedDoc>
  <HyperlinksChanged>false</HyperlinksChanged>
  <AppVersion>16.0000</AppVersion>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Props1.xml><?xml version="1.0" encoding="utf-8"?>
<ds:datastoreItem xmlns:ds="http://schemas.openxmlformats.org/officeDocument/2006/customXml" ds:itemID="{1295FFCC-A8D6-4252-8D73-C0605AF162FC}">
  <ds:schemaRefs/>
</ds:datastoreItem>
</file>

<file path=customXml/itemProps10.xml><?xml version="1.0" encoding="utf-8"?>
<ds:datastoreItem xmlns:ds="http://schemas.openxmlformats.org/officeDocument/2006/customXml" ds:itemID="{2d07acbf-aaa7-45f4-a309-4808961b5d7a}">
  <ds:schemaRefs/>
</ds:datastoreItem>
</file>

<file path=customXml/itemProps2.xml><?xml version="1.0" encoding="utf-8"?>
<ds:datastoreItem xmlns:ds="http://schemas.openxmlformats.org/officeDocument/2006/customXml" ds:itemID="{AF36978F-44F0-496E-AF0A-968223BEBEC4}">
  <ds:schemaRefs/>
</ds:datastoreItem>
</file>

<file path=customXml/itemProps3.xml><?xml version="1.0" encoding="utf-8"?>
<ds:datastoreItem xmlns:ds="http://schemas.openxmlformats.org/officeDocument/2006/customXml" ds:itemID="{EAD93815-8B47-4B90-B4B3-B77D396BA7B2}">
  <ds:schemaRefs/>
</ds:datastoreItem>
</file>

<file path=customXml/itemProps4.xml><?xml version="1.0" encoding="utf-8"?>
<ds:datastoreItem xmlns:ds="http://schemas.openxmlformats.org/officeDocument/2006/customXml" ds:itemID="{4943E5E0-F2EA-4BA1-BC14-B3A66A82A148}">
  <ds:schemaRefs/>
</ds:datastoreItem>
</file>

<file path=customXml/itemProps5.xml><?xml version="1.0" encoding="utf-8"?>
<ds:datastoreItem xmlns:ds="http://schemas.openxmlformats.org/officeDocument/2006/customXml" ds:itemID="{6A0CF8BC-B040-4141-B3C5-61F357F7E097}">
  <ds:schemaRefs/>
</ds:datastoreItem>
</file>

<file path=customXml/itemProps6.xml><?xml version="1.0" encoding="utf-8"?>
<ds:datastoreItem xmlns:ds="http://schemas.openxmlformats.org/officeDocument/2006/customXml" ds:itemID="{81354220-907C-4313-A0E9-24F4045478FC}">
  <ds:schemaRefs/>
</ds:datastoreItem>
</file>

<file path=customXml/itemProps7.xml><?xml version="1.0" encoding="utf-8"?>
<ds:datastoreItem xmlns:ds="http://schemas.openxmlformats.org/officeDocument/2006/customXml" ds:itemID="{b9bdefe3-8970-4175-9c0f-5c61a37369eb}">
  <ds:schemaRefs/>
</ds:datastoreItem>
</file>

<file path=customXml/itemProps8.xml><?xml version="1.0" encoding="utf-8"?>
<ds:datastoreItem xmlns:ds="http://schemas.openxmlformats.org/officeDocument/2006/customXml" ds:itemID="{5eae2177-ba20-405b-a3b4-75590fbcf169}">
  <ds:schemaRefs/>
</ds:datastoreItem>
</file>

<file path=customXml/itemProps9.xml><?xml version="1.0" encoding="utf-8"?>
<ds:datastoreItem xmlns:ds="http://schemas.openxmlformats.org/officeDocument/2006/customXml" ds:itemID="{CF406861-903F-4DDF-BAA1-4332C6B19B7F}">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6073</Words>
  <Characters>6298</Characters>
  <Lines>1</Lines>
  <Paragraphs>1</Paragraphs>
  <TotalTime>37</TotalTime>
  <ScaleCrop>false</ScaleCrop>
  <LinksUpToDate>false</LinksUpToDate>
  <CharactersWithSpaces>6485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2021-12-30T11:55:00Z</dcterms:created>
  <dc:creator>Shen Penny</dc:creator>
  <cp:lastModifiedBy>Yan</cp:lastModifiedBy>
  <dcterms:modified xsi:type="dcterms:W3CDTF">2025-08-06T06:10:58Z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C2DB632ABEA24D2F95A197E2B093C12B_13</vt:lpwstr>
  </property>
</Properties>
</file>