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微软雅黑" w:hAnsi="微软雅黑" w:eastAsia="微软雅黑"/>
          <w:sz w:val="20"/>
          <w:szCs w:val="20"/>
        </w:rPr>
      </w:pPr>
      <w:bookmarkStart w:id="0" w:name="_Hlk91793999"/>
      <w:bookmarkEnd w:id="0"/>
    </w:p>
    <w:p>
      <w:pPr>
        <w:snapToGrid w:val="0"/>
        <w:jc w:val="center"/>
        <w:rPr>
          <w:rFonts w:ascii="微软雅黑" w:hAnsi="微软雅黑" w:eastAsia="微软雅黑" w:cs="Times New Roman"/>
          <w:color w:val="404040" w:themeColor="text1" w:themeTint="BF"/>
          <w:sz w:val="44"/>
          <w:szCs w:val="44"/>
          <w14:textFill>
            <w14:solidFill>
              <w14:schemeClr w14:val="tx1">
                <w14:lumMod w14:val="75000"/>
                <w14:lumOff w14:val="25000"/>
              </w14:schemeClr>
            </w14:solidFill>
          </w14:textFill>
        </w:rPr>
      </w:pPr>
      <w:bookmarkStart w:id="1" w:name="_GoBack"/>
      <w:r>
        <w:rPr>
          <w:rFonts w:hint="eastAsia" w:ascii="微软雅黑" w:hAnsi="微软雅黑" w:eastAsia="微软雅黑" w:cs="Times New Roman"/>
          <w:color w:val="404040" w:themeColor="text1" w:themeTint="BF"/>
          <w:sz w:val="44"/>
          <w:szCs w:val="44"/>
          <w14:textFill>
            <w14:solidFill>
              <w14:schemeClr w14:val="tx1">
                <w14:lumMod w14:val="75000"/>
                <w14:lumOff w14:val="25000"/>
              </w14:schemeClr>
            </w14:solidFill>
          </w14:textFill>
        </w:rPr>
        <w:t>心理学在员工激励和团队管理中的应用</w:t>
      </w:r>
      <w:bookmarkEnd w:id="1"/>
      <w:r>
        <w:rPr>
          <w:rFonts w:hint="eastAsia" w:ascii="微软雅黑" w:hAnsi="微软雅黑" w:eastAsia="微软雅黑" w:cs="Times New Roman"/>
          <w:color w:val="404040" w:themeColor="text1" w:themeTint="BF"/>
          <w:sz w:val="44"/>
          <w:szCs w:val="44"/>
          <w14:textFill>
            <w14:solidFill>
              <w14:schemeClr w14:val="tx1">
                <w14:lumMod w14:val="75000"/>
                <w14:lumOff w14:val="25000"/>
              </w14:schemeClr>
            </w14:solidFill>
          </w14:textFill>
        </w:rPr>
        <w:tab/>
      </w:r>
    </w:p>
    <w:p>
      <w:pPr>
        <w:snapToGrid w:val="0"/>
        <w:jc w:val="center"/>
        <w:rPr>
          <w:rFonts w:ascii="Arial" w:hAnsi="Arial" w:cs="Arial"/>
          <w:color w:val="D6D6D6"/>
          <w:sz w:val="24"/>
          <w:szCs w:val="24"/>
        </w:rPr>
      </w:pPr>
      <w:r>
        <w:rPr>
          <w:rFonts w:hint="eastAsia" w:ascii="Arial" w:hAnsi="Arial" w:cs="Arial"/>
          <w:color w:val="D6D6D6"/>
          <w:sz w:val="24"/>
          <w:szCs w:val="24"/>
        </w:rPr>
        <w:t>The Application of Psychology in Employee Motivation and Team Management</w:t>
      </w:r>
    </w:p>
    <w:p>
      <w:pPr>
        <w:snapToGrid w:val="0"/>
        <w:rPr>
          <w:rFonts w:ascii="微软雅黑" w:hAnsi="微软雅黑" w:eastAsia="微软雅黑"/>
          <w:sz w:val="20"/>
          <w:szCs w:val="20"/>
        </w:rPr>
      </w:pPr>
    </w:p>
    <w:tbl>
      <w:tblPr>
        <w:tblStyle w:val="6"/>
        <w:tblW w:w="0" w:type="auto"/>
        <w:jc w:val="center"/>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Layout w:type="autofit"/>
        <w:tblCellMar>
          <w:top w:w="0" w:type="dxa"/>
          <w:left w:w="108" w:type="dxa"/>
          <w:bottom w:w="0" w:type="dxa"/>
          <w:right w:w="108" w:type="dxa"/>
        </w:tblCellMar>
      </w:tblPr>
      <w:tblGrid>
        <w:gridCol w:w="4253"/>
        <w:gridCol w:w="3402"/>
      </w:tblGrid>
      <w:tr>
        <w:tblPrEx>
          <w:tblBorders>
            <w:top w:val="single" w:color="D8D8D8" w:themeColor="background1" w:themeShade="D9" w:sz="4" w:space="0"/>
            <w:left w:val="single" w:color="D8D8D8" w:themeColor="background1" w:themeShade="D9" w:sz="4" w:space="0"/>
            <w:bottom w:val="single" w:color="D8D8D8" w:themeColor="background1" w:themeShade="D9" w:sz="4" w:space="0"/>
            <w:right w:val="single" w:color="D8D8D8" w:themeColor="background1" w:themeShade="D9" w:sz="4" w:space="0"/>
            <w:insideH w:val="single" w:color="D8D8D8" w:themeColor="background1" w:themeShade="D9" w:sz="4" w:space="0"/>
            <w:insideV w:val="single" w:color="D8D8D8" w:themeColor="background1" w:themeShade="D9" w:sz="4" w:space="0"/>
          </w:tblBorders>
          <w:tblCellMar>
            <w:top w:w="0" w:type="dxa"/>
            <w:left w:w="108" w:type="dxa"/>
            <w:bottom w:w="0" w:type="dxa"/>
            <w:right w:w="108" w:type="dxa"/>
          </w:tblCellMar>
        </w:tblPrEx>
        <w:trPr>
          <w:trHeight w:val="593" w:hRule="atLeast"/>
          <w:jc w:val="center"/>
        </w:trPr>
        <w:tc>
          <w:tcPr>
            <w:tcW w:w="4253" w:type="dxa"/>
            <w:vAlign w:val="center"/>
          </w:tcPr>
          <w:p>
            <w:pPr>
              <w:snapToGrid w:val="0"/>
              <w:rPr>
                <w:rFonts w:ascii="微软雅黑" w:hAnsi="微软雅黑" w:eastAsia="微软雅黑" w:cs="宋体"/>
                <w:b/>
                <w:bCs/>
                <w:kern w:val="0"/>
                <w:sz w:val="24"/>
                <w:szCs w:val="24"/>
              </w:rPr>
            </w:pPr>
            <w:r>
              <w:rPr>
                <w:rFonts w:hint="eastAsia" w:ascii="微软雅黑" w:hAnsi="微软雅黑" w:eastAsia="微软雅黑" w:cs="宋体"/>
                <w:b/>
                <w:bCs/>
                <w:color w:val="2E74B5"/>
                <w:kern w:val="0"/>
                <w:sz w:val="24"/>
                <w:szCs w:val="24"/>
              </w:rPr>
              <w:t>讲师</w:t>
            </w:r>
            <w:r>
              <w:rPr>
                <w:rFonts w:ascii="微软雅黑" w:hAnsi="微软雅黑" w:eastAsia="微软雅黑" w:cs="宋体"/>
                <w:b/>
                <w:bCs/>
                <w:color w:val="2E74B5"/>
                <w:kern w:val="0"/>
                <w:sz w:val="24"/>
                <w:szCs w:val="24"/>
              </w:rPr>
              <w:t>/Lecturer</w:t>
            </w:r>
            <w:r>
              <w:rPr>
                <w:rFonts w:hint="eastAsia" w:ascii="微软雅黑" w:hAnsi="微软雅黑" w:eastAsia="微软雅黑" w:cs="宋体"/>
                <w:b/>
                <w:bCs/>
                <w:color w:val="2E74B5"/>
                <w:kern w:val="0"/>
                <w:sz w:val="24"/>
                <w:szCs w:val="24"/>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王老师</w:t>
            </w:r>
          </w:p>
        </w:tc>
        <w:tc>
          <w:tcPr>
            <w:tcW w:w="3402" w:type="dxa"/>
            <w:vAlign w:val="center"/>
          </w:tcPr>
          <w:p>
            <w:pPr>
              <w:snapToGrid w:val="0"/>
              <w:rPr>
                <w:rFonts w:ascii="微软雅黑" w:hAnsi="微软雅黑" w:eastAsia="微软雅黑" w:cs="宋体"/>
                <w:b/>
                <w:bCs/>
                <w:kern w:val="0"/>
                <w:sz w:val="24"/>
                <w:szCs w:val="24"/>
              </w:rPr>
            </w:pPr>
            <w:r>
              <w:rPr>
                <w:rFonts w:hint="eastAsia" w:ascii="微软雅黑" w:hAnsi="微软雅黑" w:eastAsia="微软雅黑" w:cs="宋体"/>
                <w:b/>
                <w:bCs/>
                <w:color w:val="2E74B5"/>
                <w:kern w:val="0"/>
                <w:sz w:val="24"/>
                <w:szCs w:val="24"/>
              </w:rPr>
              <w:t>费用</w:t>
            </w:r>
            <w:r>
              <w:rPr>
                <w:rFonts w:ascii="微软雅黑" w:hAnsi="微软雅黑" w:eastAsia="微软雅黑" w:cs="宋体"/>
                <w:b/>
                <w:bCs/>
                <w:color w:val="2E74B5"/>
                <w:kern w:val="0"/>
                <w:sz w:val="24"/>
                <w:szCs w:val="24"/>
              </w:rPr>
              <w:t>/Price</w:t>
            </w:r>
            <w:r>
              <w:rPr>
                <w:rFonts w:hint="eastAsia" w:ascii="微软雅黑" w:hAnsi="微软雅黑" w:eastAsia="微软雅黑" w:cs="宋体"/>
                <w:b/>
                <w:bCs/>
                <w:color w:val="2E74B5"/>
                <w:kern w:val="0"/>
                <w:sz w:val="24"/>
                <w:szCs w:val="24"/>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¥4800元</w:t>
            </w:r>
            <w:r>
              <w:rPr>
                <w:rFonts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w:t>
            </w:r>
            <w:r>
              <w:rPr>
                <w:rFonts w:hint="eastAsia" w:ascii="微软雅黑" w:hAnsi="微软雅黑" w:eastAsia="微软雅黑" w:cs="宋体"/>
                <w:bCs/>
                <w:color w:val="404040" w:themeColor="text1" w:themeTint="BF"/>
                <w:kern w:val="0"/>
                <w:sz w:val="24"/>
                <w:szCs w:val="24"/>
                <w14:textFill>
                  <w14:solidFill>
                    <w14:schemeClr w14:val="tx1">
                      <w14:lumMod w14:val="75000"/>
                      <w14:lumOff w14:val="25000"/>
                    </w14:schemeClr>
                  </w14:solidFill>
                </w14:textFill>
              </w:rPr>
              <w:t>人</w:t>
            </w:r>
          </w:p>
        </w:tc>
      </w:tr>
    </w:tbl>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p>
    <w:p>
      <w:pPr>
        <w:snapToGrid w:val="0"/>
        <w:spacing w:line="288" w:lineRule="auto"/>
        <w:rPr>
          <w:rFonts w:ascii="微软雅黑" w:hAnsi="微软雅黑" w:eastAsia="微软雅黑" w:cs="微软雅黑"/>
          <w:color w:val="404040" w:themeColor="text1" w:themeTint="BF"/>
          <w:kern w:val="0"/>
          <w:sz w:val="20"/>
          <w:szCs w:val="20"/>
          <w14:textFill>
            <w14:solidFill>
              <w14:schemeClr w14:val="tx1">
                <w14:lumMod w14:val="75000"/>
                <w14:lumOff w14:val="25000"/>
              </w14:schemeClr>
            </w14:solidFill>
          </w14:textFill>
        </w:rPr>
      </w:pPr>
    </w:p>
    <w:p>
      <w:pPr>
        <w:snapToGrid w:val="0"/>
        <w:rPr>
          <w:rFonts w:ascii="微软雅黑" w:hAnsi="微软雅黑" w:eastAsia="微软雅黑" w:cs="微软雅黑"/>
          <w:color w:val="2E74B5"/>
          <w:kern w:val="0"/>
          <w:sz w:val="20"/>
          <w:szCs w:val="20"/>
        </w:rPr>
      </w:pPr>
      <w:r>
        <w:rPr>
          <w:rFonts w:hint="eastAsia" w:ascii="微软雅黑" w:hAnsi="微软雅黑" w:eastAsia="微软雅黑" w:cs="宋体"/>
          <w:b/>
          <w:bCs/>
          <w:color w:val="2E74B5"/>
          <w:kern w:val="0"/>
          <w:sz w:val="26"/>
          <w:szCs w:val="26"/>
        </w:rPr>
        <w:t>课程排期/</w:t>
      </w:r>
      <w:r>
        <w:rPr>
          <w:rFonts w:ascii="微软雅黑" w:hAnsi="微软雅黑" w:eastAsia="微软雅黑" w:cs="宋体"/>
          <w:b/>
          <w:bCs/>
          <w:color w:val="2E74B5"/>
          <w:kern w:val="0"/>
          <w:sz w:val="26"/>
          <w:szCs w:val="26"/>
        </w:rPr>
        <w:t>Scheduling</w:t>
      </w:r>
    </w:p>
    <w:p>
      <w:pPr>
        <w:pStyle w:val="11"/>
        <w:ind w:firstLine="0" w:firstLineChars="0"/>
        <w:rPr>
          <w:rFonts w:ascii="微软雅黑" w:hAnsi="微软雅黑" w:eastAsia="微软雅黑"/>
          <w:color w:val="595959"/>
          <w:sz w:val="16"/>
          <w:szCs w:val="16"/>
        </w:rPr>
      </w:pPr>
    </w:p>
    <w:p>
      <w:r>
        <w:rPr>
          <w:rFonts w:ascii="微软雅黑" w:hAnsi="微软雅黑" w:eastAsia="微软雅黑" w:cs="微软雅黑"/>
          <w:b/>
          <w:color w:val="000000"/>
          <w:sz w:val="20"/>
        </w:rPr>
        <w:t>深圳：2024年04月24日-25日</w:t>
      </w:r>
    </w:p>
    <w:p>
      <w:r>
        <w:rPr>
          <w:rFonts w:ascii="微软雅黑" w:hAnsi="微软雅黑" w:eastAsia="微软雅黑" w:cs="微软雅黑"/>
          <w:b/>
          <w:color w:val="000000"/>
          <w:sz w:val="20"/>
        </w:rPr>
        <w:t>上海：2024年05月15日-16日</w:t>
      </w:r>
    </w:p>
    <w:p>
      <w:r>
        <w:rPr>
          <w:rFonts w:ascii="微软雅黑" w:hAnsi="微软雅黑" w:eastAsia="微软雅黑" w:cs="微软雅黑"/>
          <w:b/>
          <w:color w:val="000000"/>
          <w:sz w:val="20"/>
        </w:rPr>
        <w:t>北京：2024年06月26日-27日</w:t>
      </w:r>
    </w:p>
    <w:p>
      <w:r>
        <w:rPr>
          <w:rFonts w:ascii="微软雅黑" w:hAnsi="微软雅黑" w:eastAsia="微软雅黑" w:cs="微软雅黑"/>
          <w:b/>
          <w:color w:val="000000"/>
          <w:sz w:val="20"/>
        </w:rPr>
        <w:t>深圳：2024年07月24日-25日</w:t>
      </w:r>
    </w:p>
    <w:p>
      <w:r>
        <w:rPr>
          <w:rFonts w:ascii="微软雅黑" w:hAnsi="微软雅黑" w:eastAsia="微软雅黑" w:cs="微软雅黑"/>
          <w:b/>
          <w:color w:val="000000"/>
          <w:sz w:val="20"/>
        </w:rPr>
        <w:t>上海：2024年10月30日-31日</w:t>
      </w:r>
    </w:p>
    <w:p>
      <w:r>
        <w:rPr>
          <w:rFonts w:ascii="微软雅黑" w:hAnsi="微软雅黑" w:eastAsia="微软雅黑" w:cs="微软雅黑"/>
          <w:b/>
          <w:color w:val="000000"/>
          <w:sz w:val="20"/>
        </w:rPr>
        <w:t>广州：2024年11月13日-14日</w:t>
      </w:r>
    </w:p>
    <w:p>
      <w:r>
        <w:rPr>
          <w:rFonts w:ascii="微软雅黑" w:hAnsi="微软雅黑" w:eastAsia="微软雅黑" w:cs="微软雅黑"/>
          <w:b/>
          <w:color w:val="000000"/>
          <w:sz w:val="20"/>
        </w:rPr>
        <w:t>深圳：2024年12月11日-12日</w:t>
      </w:r>
    </w:p>
    <w:p/>
    <w:p/>
    <w:p>
      <w:r>
        <w:rPr>
          <w:rFonts w:ascii="微软雅黑" w:hAnsi="微软雅黑" w:eastAsia="微软雅黑" w:cs="微软雅黑"/>
          <w:b/>
          <w:color w:val="2E74B5"/>
          <w:sz w:val="26"/>
        </w:rPr>
        <w:t>课程概述/Overview</w:t>
      </w:r>
    </w:p>
    <w:p>
      <w:r>
        <w:rPr>
          <w:rFonts w:ascii="微软雅黑" w:hAnsi="微软雅黑" w:eastAsia="微软雅黑" w:cs="微软雅黑"/>
          <w:b/>
          <w:color w:val="000000"/>
          <w:sz w:val="22"/>
        </w:rPr>
        <w:t>课程背景：</w:t>
      </w:r>
    </w:p>
    <w:p>
      <w:r>
        <w:rPr>
          <w:rFonts w:ascii="微软雅黑" w:hAnsi="微软雅黑" w:eastAsia="微软雅黑" w:cs="微软雅黑"/>
          <w:sz w:val="20"/>
        </w:rPr>
        <w:t>“管理是管人，管人是管心”</w:t>
      </w:r>
    </w:p>
    <w:p>
      <w:r>
        <w:rPr>
          <w:rFonts w:ascii="微软雅黑" w:hAnsi="微软雅黑" w:eastAsia="微软雅黑" w:cs="微软雅黑"/>
          <w:sz w:val="20"/>
        </w:rPr>
        <w:t>美国前管理协会会长赫尔雷格尔教授等人所著的权威著作《组织行为学》一书指出：“二十一世纪管理学的趋势是心理学化”。</w:t>
      </w:r>
    </w:p>
    <w:p/>
    <w:p>
      <w:r>
        <w:rPr>
          <w:rFonts w:ascii="微软雅黑" w:hAnsi="微软雅黑" w:eastAsia="微软雅黑" w:cs="微软雅黑"/>
          <w:sz w:val="20"/>
        </w:rPr>
        <w:t>面对当下激烈的人才市场竞争、面对严峻的市场环境所造成的团队士气管理上的挑战，面对常见的员工的“五低”现象：“忠诚度低、责任感低、耐挫力低、能力低，还眼高手低”，我们需要“update”——升级换代我们的员工激励与团队管理的“新策略”和“新方法“。</w:t>
      </w:r>
    </w:p>
    <w:p/>
    <w:p>
      <w:r>
        <w:rPr>
          <w:rFonts w:ascii="微软雅黑" w:hAnsi="微软雅黑" w:eastAsia="微软雅黑" w:cs="微软雅黑"/>
          <w:sz w:val="20"/>
        </w:rPr>
        <w:t>透过本次课程，我们会帮助企业的经理人学习和运用简单、神奇的后现代心理学技术，“洞察”——员工言行背后的心理活动和心理规律，找到员工的深层心理动力，从而能够对员工进行“精准激励”，并运用最新心理学团体引导技术，快速升级团队对“赢”的渴望，帮助管理者实现在团队管理上的新突破。</w:t>
      </w:r>
    </w:p>
    <w:p/>
    <w:p>
      <w:r>
        <w:rPr>
          <w:rFonts w:ascii="微软雅黑" w:hAnsi="微软雅黑" w:eastAsia="微软雅黑" w:cs="微软雅黑"/>
          <w:sz w:val="20"/>
        </w:rPr>
        <w:t>与过去传统的《员工激励》课程不同的是，我们非常注重管理者对员工内在心理体验的影响。我们帮助企业管理者运用现代的心理科学的成果，带领管理者进入员工的“心理世界”，并帮助他们找到激发员工心理动力的钥匙，从而透过员工的“自我推动”、“自我赋能”来实现员工个人以及团队的激励和管理。</w:t>
      </w:r>
    </w:p>
    <w:p/>
    <w:p>
      <w:r>
        <w:rPr>
          <w:rFonts w:ascii="微软雅黑" w:hAnsi="微软雅黑" w:eastAsia="微软雅黑" w:cs="微软雅黑"/>
          <w:b/>
          <w:color w:val="000000"/>
          <w:sz w:val="22"/>
        </w:rPr>
        <w:t>课程收益：</w:t>
      </w:r>
    </w:p>
    <w:p>
      <w:r>
        <w:rPr>
          <w:rFonts w:ascii="微软雅黑" w:hAnsi="微软雅黑" w:eastAsia="微软雅黑" w:cs="微软雅黑"/>
          <w:sz w:val="20"/>
        </w:rPr>
        <w:t>掌握三阶段洞察法-破解员工行为背后的心理密码；</w:t>
      </w:r>
    </w:p>
    <w:p>
      <w:r>
        <w:rPr>
          <w:rFonts w:ascii="微软雅黑" w:hAnsi="微软雅黑" w:eastAsia="微软雅黑" w:cs="微软雅黑"/>
          <w:sz w:val="20"/>
        </w:rPr>
        <w:t>能够运用洞察和心理沟通四步法转化和激励员工的负面情绪和行为；</w:t>
      </w:r>
    </w:p>
    <w:p>
      <w:r>
        <w:rPr>
          <w:rFonts w:ascii="微软雅黑" w:hAnsi="微软雅黑" w:eastAsia="微软雅黑" w:cs="微软雅黑"/>
          <w:sz w:val="20"/>
        </w:rPr>
        <w:t>懂得员工工作激情的来源——内在心理动力的“飞机”模型图；</w:t>
      </w:r>
    </w:p>
    <w:p>
      <w:r>
        <w:rPr>
          <w:rFonts w:ascii="微软雅黑" w:hAnsi="微软雅黑" w:eastAsia="微软雅黑" w:cs="微软雅黑"/>
          <w:sz w:val="20"/>
        </w:rPr>
        <w:t>能够根据对员工的心理洞察更精准的使用相应的激励方法和策略</w:t>
      </w:r>
    </w:p>
    <w:p>
      <w:r>
        <w:rPr>
          <w:rFonts w:ascii="微软雅黑" w:hAnsi="微软雅黑" w:eastAsia="微软雅黑" w:cs="微软雅黑"/>
          <w:sz w:val="20"/>
        </w:rPr>
        <w:t>学会评估与使用“三角色法”扭转困难情境下团队的士气低落；</w:t>
      </w:r>
    </w:p>
    <w:p>
      <w:r>
        <w:rPr>
          <w:rFonts w:ascii="微软雅黑" w:hAnsi="微软雅黑" w:eastAsia="微软雅黑" w:cs="微软雅黑"/>
          <w:sz w:val="20"/>
        </w:rPr>
        <w:t>懂得使用凝聚与点燃团队激情的“团体心理动力的四要素”。</w:t>
      </w:r>
    </w:p>
    <w:p/>
    <w:p>
      <w:r>
        <w:rPr>
          <w:rFonts w:ascii="微软雅黑" w:hAnsi="微软雅黑" w:eastAsia="微软雅黑" w:cs="微软雅黑"/>
          <w:b/>
          <w:color w:val="000000"/>
          <w:sz w:val="22"/>
        </w:rPr>
        <w:t>课程特色：</w:t>
      </w:r>
    </w:p>
    <w:p>
      <w:r>
        <w:rPr>
          <w:rFonts w:ascii="微软雅黑" w:hAnsi="微软雅黑" w:eastAsia="微软雅黑" w:cs="微软雅黑"/>
          <w:sz w:val="20"/>
        </w:rPr>
        <w:t>注重课前的调查和课后的辅导落地：让培训成为解决管理问题，达成管理目标的工具</w:t>
      </w:r>
    </w:p>
    <w:p>
      <w:r>
        <w:rPr>
          <w:rFonts w:ascii="微软雅黑" w:hAnsi="微软雅黑" w:eastAsia="微软雅黑" w:cs="微软雅黑"/>
          <w:sz w:val="20"/>
        </w:rPr>
        <w:t>在情境中学习：模拟真实管理情境，采用案例式教学，充分调动员工的学习研究热情</w:t>
      </w:r>
    </w:p>
    <w:p>
      <w:r>
        <w:rPr>
          <w:rFonts w:ascii="微软雅黑" w:hAnsi="微软雅黑" w:eastAsia="微软雅黑" w:cs="微软雅黑"/>
          <w:sz w:val="20"/>
        </w:rPr>
        <w:t>采用学员为中心的引导式、教练式的培训方式，使学员在深度体验中获得感悟和领会</w:t>
      </w:r>
    </w:p>
    <w:p>
      <w:r>
        <w:rPr>
          <w:rFonts w:ascii="微软雅黑" w:hAnsi="微软雅黑" w:eastAsia="微软雅黑" w:cs="微软雅黑"/>
          <w:sz w:val="20"/>
        </w:rPr>
        <w:t>老师经过多年的心理学和管理实践，研究总结出的方法和步骤高度精炼和具有实用性</w:t>
      </w:r>
    </w:p>
    <w:p/>
    <w:p>
      <w:r>
        <w:rPr>
          <w:rFonts w:ascii="微软雅黑" w:hAnsi="微软雅黑" w:eastAsia="微软雅黑" w:cs="微软雅黑"/>
          <w:b/>
          <w:color w:val="000000"/>
          <w:sz w:val="22"/>
        </w:rPr>
        <w:t>课程形式：</w:t>
      </w:r>
    </w:p>
    <w:p>
      <w:r>
        <w:rPr>
          <w:rFonts w:ascii="微软雅黑" w:hAnsi="微软雅黑" w:eastAsia="微软雅黑" w:cs="微软雅黑"/>
          <w:sz w:val="20"/>
        </w:rPr>
        <w:t>小班授课</w:t>
      </w:r>
    </w:p>
    <w:p>
      <w:r>
        <w:rPr>
          <w:rFonts w:ascii="微软雅黑" w:hAnsi="微软雅黑" w:eastAsia="微软雅黑" w:cs="微软雅黑"/>
          <w:sz w:val="20"/>
        </w:rPr>
        <w:t>采用讲授、小组讨论、教练式培训</w:t>
      </w:r>
    </w:p>
    <w:p>
      <w:r>
        <w:rPr>
          <w:rFonts w:ascii="微软雅黑" w:hAnsi="微软雅黑" w:eastAsia="微软雅黑" w:cs="微软雅黑"/>
          <w:sz w:val="20"/>
        </w:rPr>
        <w:t>案例分析、角色扮演、体验式训练</w:t>
      </w:r>
    </w:p>
    <w:p>
      <w:r>
        <w:rPr>
          <w:rFonts w:ascii="微软雅黑" w:hAnsi="微软雅黑" w:eastAsia="微软雅黑" w:cs="微软雅黑"/>
          <w:sz w:val="20"/>
        </w:rPr>
        <w:t>心理测验、启发式、互动式教学</w:t>
      </w:r>
    </w:p>
    <w:p/>
    <w:p/>
    <w:p>
      <w:r>
        <w:rPr>
          <w:rFonts w:ascii="微软雅黑" w:hAnsi="微软雅黑" w:eastAsia="微软雅黑" w:cs="微软雅黑"/>
          <w:b/>
          <w:color w:val="2E74B5"/>
          <w:sz w:val="26"/>
        </w:rPr>
        <w:t>课程大纲/Outline</w:t>
      </w:r>
    </w:p>
    <w:p>
      <w:r>
        <w:rPr>
          <w:rFonts w:ascii="微软雅黑" w:hAnsi="微软雅黑" w:eastAsia="微软雅黑" w:cs="微软雅黑"/>
          <w:b/>
          <w:color w:val="000000"/>
          <w:sz w:val="22"/>
        </w:rPr>
        <w:t>破冰和开场</w:t>
      </w:r>
    </w:p>
    <w:p>
      <w:r>
        <w:rPr>
          <w:rFonts w:ascii="微软雅黑" w:hAnsi="微软雅黑" w:eastAsia="微软雅黑" w:cs="微软雅黑"/>
          <w:sz w:val="20"/>
        </w:rPr>
        <w:t>破冰游戏：使学员快速和全身心投入到课程中来</w:t>
      </w:r>
    </w:p>
    <w:p>
      <w:r>
        <w:rPr>
          <w:rFonts w:ascii="微软雅黑" w:hAnsi="微软雅黑" w:eastAsia="微软雅黑" w:cs="微软雅黑"/>
          <w:sz w:val="20"/>
        </w:rPr>
        <w:t>在新形势下：员工的心理激励与团队管理越来越重要</w:t>
      </w:r>
    </w:p>
    <w:p>
      <w:r>
        <w:rPr>
          <w:rFonts w:ascii="微软雅黑" w:hAnsi="微软雅黑" w:eastAsia="微软雅黑" w:cs="微软雅黑"/>
          <w:sz w:val="20"/>
        </w:rPr>
        <w:t>管理激励新方法的研究：最新第五代激励理论的结论</w:t>
      </w:r>
    </w:p>
    <w:p>
      <w:r>
        <w:rPr>
          <w:rFonts w:ascii="微软雅黑" w:hAnsi="微软雅黑" w:eastAsia="微软雅黑" w:cs="微软雅黑"/>
          <w:sz w:val="20"/>
        </w:rPr>
        <w:t>概述后现代的心理技术在员工激励和团队管理当中可以起到的关键作用</w:t>
      </w:r>
    </w:p>
    <w:p/>
    <w:p>
      <w:r>
        <w:rPr>
          <w:rFonts w:ascii="微软雅黑" w:hAnsi="微软雅黑" w:eastAsia="微软雅黑" w:cs="微软雅黑"/>
          <w:b/>
          <w:color w:val="000000"/>
          <w:sz w:val="22"/>
        </w:rPr>
        <w:t>模块一：学习洞察员工言行背后的心理活动</w:t>
      </w:r>
    </w:p>
    <w:p>
      <w:r>
        <w:rPr>
          <w:rFonts w:ascii="微软雅黑" w:hAnsi="微软雅黑" w:eastAsia="微软雅黑" w:cs="微软雅黑"/>
          <w:sz w:val="20"/>
        </w:rPr>
        <w:t>当下管理当中常见的七种管理困境</w:t>
      </w:r>
    </w:p>
    <w:p>
      <w:r>
        <w:rPr>
          <w:rFonts w:ascii="微软雅黑" w:hAnsi="微软雅黑" w:eastAsia="微软雅黑" w:cs="微软雅黑"/>
          <w:sz w:val="20"/>
        </w:rPr>
        <w:t>典型案例学习：员工为什么“缺乏工作动力”？</w:t>
      </w:r>
    </w:p>
    <w:p>
      <w:r>
        <w:rPr>
          <w:rFonts w:ascii="微软雅黑" w:hAnsi="微软雅黑" w:eastAsia="微软雅黑" w:cs="微软雅黑"/>
          <w:sz w:val="20"/>
        </w:rPr>
        <w:t>学点心理学：员工内在心理活动的三阶段“冰山图”</w:t>
      </w:r>
    </w:p>
    <w:p>
      <w:r>
        <w:rPr>
          <w:rFonts w:ascii="微软雅黑" w:hAnsi="微软雅黑" w:eastAsia="微软雅黑" w:cs="微软雅黑"/>
          <w:sz w:val="20"/>
        </w:rPr>
        <w:t>看懂和理解典型的七种员工的“心理防御机制”言行</w:t>
      </w:r>
    </w:p>
    <w:p>
      <w:r>
        <w:rPr>
          <w:rFonts w:ascii="微软雅黑" w:hAnsi="微软雅黑" w:eastAsia="微软雅黑" w:cs="微软雅黑"/>
          <w:sz w:val="20"/>
        </w:rPr>
        <w:t>学习重点：突破心理防御，建立开放与信任的关系两个关键</w:t>
      </w:r>
    </w:p>
    <w:p>
      <w:r>
        <w:rPr>
          <w:rFonts w:ascii="微软雅黑" w:hAnsi="微软雅黑" w:eastAsia="微软雅黑" w:cs="微软雅黑"/>
          <w:sz w:val="20"/>
        </w:rPr>
        <w:t>职场典型案例的洞察练习和激励方法研讨</w:t>
      </w:r>
    </w:p>
    <w:p/>
    <w:p>
      <w:r>
        <w:rPr>
          <w:rFonts w:ascii="微软雅黑" w:hAnsi="微软雅黑" w:eastAsia="微软雅黑" w:cs="微软雅黑"/>
          <w:b/>
          <w:color w:val="000000"/>
          <w:sz w:val="22"/>
        </w:rPr>
        <w:t>模块二：员工心理动力的来源是实现精准激励的关键</w:t>
      </w:r>
    </w:p>
    <w:p>
      <w:r>
        <w:rPr>
          <w:rFonts w:ascii="微软雅黑" w:hAnsi="微软雅黑" w:eastAsia="微软雅黑" w:cs="微软雅黑"/>
          <w:sz w:val="20"/>
        </w:rPr>
        <w:t>案例学习：“员工抱怨工资不涨、工作却更辛苦了“如何激励？</w:t>
      </w:r>
    </w:p>
    <w:p>
      <w:r>
        <w:rPr>
          <w:rFonts w:ascii="微软雅黑" w:hAnsi="微软雅黑" w:eastAsia="微软雅黑" w:cs="微软雅黑"/>
          <w:sz w:val="20"/>
        </w:rPr>
        <w:t>“解读“员工六种典型情绪背后对管理者的深层心理需求</w:t>
      </w:r>
    </w:p>
    <w:p>
      <w:r>
        <w:rPr>
          <w:rFonts w:ascii="微软雅黑" w:hAnsi="微软雅黑" w:eastAsia="微软雅黑" w:cs="微软雅黑"/>
          <w:sz w:val="20"/>
        </w:rPr>
        <w:t>掌握员工心理的窗口——画画：“员工情绪地图“</w:t>
      </w:r>
    </w:p>
    <w:p>
      <w:r>
        <w:rPr>
          <w:rFonts w:ascii="微软雅黑" w:hAnsi="微软雅黑" w:eastAsia="微软雅黑" w:cs="微软雅黑"/>
          <w:sz w:val="20"/>
        </w:rPr>
        <w:t>学习使用心理撬动四步法沟通转化员工的负面情绪和激励正面行为</w:t>
      </w:r>
    </w:p>
    <w:p>
      <w:r>
        <w:rPr>
          <w:rFonts w:ascii="微软雅黑" w:hAnsi="微软雅黑" w:eastAsia="微软雅黑" w:cs="微软雅黑"/>
          <w:sz w:val="20"/>
        </w:rPr>
        <w:t>心理沟通四步法的分解小练习</w:t>
      </w:r>
    </w:p>
    <w:p>
      <w:r>
        <w:rPr>
          <w:rFonts w:ascii="微软雅黑" w:hAnsi="微软雅黑" w:eastAsia="微软雅黑" w:cs="微软雅黑"/>
          <w:sz w:val="20"/>
        </w:rPr>
        <w:t>真实案例演练：角色扮演PK竞赛</w:t>
      </w:r>
    </w:p>
    <w:p/>
    <w:p>
      <w:r>
        <w:rPr>
          <w:rFonts w:ascii="微软雅黑" w:hAnsi="微软雅黑" w:eastAsia="微软雅黑" w:cs="微软雅黑"/>
          <w:b/>
          <w:color w:val="000000"/>
          <w:sz w:val="22"/>
        </w:rPr>
        <w:t>模块三：运用员工内在心理动力的“飞机”模型图激励员工</w:t>
      </w:r>
    </w:p>
    <w:p>
      <w:r>
        <w:rPr>
          <w:rFonts w:ascii="微软雅黑" w:hAnsi="微软雅黑" w:eastAsia="微软雅黑" w:cs="微软雅黑"/>
          <w:sz w:val="20"/>
        </w:rPr>
        <w:t>引导活动：采访游戏——什么最能激励你？</w:t>
      </w:r>
    </w:p>
    <w:p>
      <w:r>
        <w:rPr>
          <w:rFonts w:ascii="微软雅黑" w:hAnsi="微软雅黑" w:eastAsia="微软雅黑" w:cs="微软雅黑"/>
          <w:sz w:val="20"/>
        </w:rPr>
        <w:t>学习：职场心理动力“飞机模型“图</w:t>
      </w:r>
    </w:p>
    <w:p>
      <w:r>
        <w:rPr>
          <w:rFonts w:ascii="微软雅黑" w:hAnsi="微软雅黑" w:eastAsia="微软雅黑" w:cs="微软雅黑"/>
          <w:sz w:val="20"/>
        </w:rPr>
        <w:t>掌握心理激励的沟通四维方向“贡献/目标/需求/优势“</w:t>
      </w:r>
    </w:p>
    <w:p>
      <w:r>
        <w:rPr>
          <w:rFonts w:ascii="微软雅黑" w:hAnsi="微软雅黑" w:eastAsia="微软雅黑" w:cs="微软雅黑"/>
          <w:sz w:val="20"/>
        </w:rPr>
        <w:t>分解练习四维员工激励话术</w:t>
      </w:r>
    </w:p>
    <w:p>
      <w:r>
        <w:rPr>
          <w:rFonts w:ascii="微软雅黑" w:hAnsi="微软雅黑" w:eastAsia="微软雅黑" w:cs="微软雅黑"/>
          <w:sz w:val="20"/>
        </w:rPr>
        <w:t>画出：年轻员工、中年员工、老员工的典型“飞机图“</w:t>
      </w:r>
    </w:p>
    <w:p>
      <w:r>
        <w:rPr>
          <w:rFonts w:ascii="微软雅黑" w:hAnsi="微软雅黑" w:eastAsia="微软雅黑" w:cs="微软雅黑"/>
          <w:sz w:val="20"/>
        </w:rPr>
        <w:t>学习根据对员工的心理洞察更精准的使用相应的激励方法和话术</w:t>
      </w:r>
    </w:p>
    <w:p>
      <w:r>
        <w:rPr>
          <w:rFonts w:ascii="微软雅黑" w:hAnsi="微软雅黑" w:eastAsia="微软雅黑" w:cs="微软雅黑"/>
          <w:sz w:val="20"/>
        </w:rPr>
        <w:t>小组分享与讨论：我们当下的工作中如何使用这些方法和策略？</w:t>
      </w:r>
    </w:p>
    <w:p/>
    <w:p>
      <w:r>
        <w:rPr>
          <w:rFonts w:ascii="微软雅黑" w:hAnsi="微软雅黑" w:eastAsia="微软雅黑" w:cs="微软雅黑"/>
          <w:b/>
          <w:color w:val="000000"/>
          <w:sz w:val="22"/>
        </w:rPr>
        <w:t>模块四：”扭转困难情境下团队的士气低落的“三角色法</w:t>
      </w:r>
    </w:p>
    <w:p>
      <w:r>
        <w:rPr>
          <w:rFonts w:ascii="微软雅黑" w:hAnsi="微软雅黑" w:eastAsia="微软雅黑" w:cs="微软雅黑"/>
          <w:sz w:val="20"/>
        </w:rPr>
        <w:t>团队士气低气压的工作表现与不良影响</w:t>
      </w:r>
    </w:p>
    <w:p>
      <w:r>
        <w:rPr>
          <w:rFonts w:ascii="微软雅黑" w:hAnsi="微软雅黑" w:eastAsia="微软雅黑" w:cs="微软雅黑"/>
          <w:sz w:val="20"/>
        </w:rPr>
        <w:t>团队士气低落时管理者的最常见的六个误区</w:t>
      </w:r>
    </w:p>
    <w:p>
      <w:r>
        <w:rPr>
          <w:rFonts w:ascii="微软雅黑" w:hAnsi="微软雅黑" w:eastAsia="微软雅黑" w:cs="微软雅黑"/>
          <w:sz w:val="20"/>
        </w:rPr>
        <w:t>懂得评估困境或压力下的“团队心理的三个阶段“</w:t>
      </w:r>
    </w:p>
    <w:p>
      <w:r>
        <w:rPr>
          <w:rFonts w:ascii="微软雅黑" w:hAnsi="微软雅黑" w:eastAsia="微软雅黑" w:cs="微软雅黑"/>
          <w:sz w:val="20"/>
        </w:rPr>
        <w:t>运用三角色“包容者“”促动者“”教练者“帮助团体化压力为动力</w:t>
      </w:r>
    </w:p>
    <w:p>
      <w:r>
        <w:rPr>
          <w:rFonts w:ascii="微软雅黑" w:hAnsi="微软雅黑" w:eastAsia="微软雅黑" w:cs="微软雅黑"/>
          <w:sz w:val="20"/>
        </w:rPr>
        <w:t>学习和掌握三种角色的核心句型及九种话术</w:t>
      </w:r>
    </w:p>
    <w:p>
      <w:r>
        <w:rPr>
          <w:rFonts w:ascii="微软雅黑" w:hAnsi="微软雅黑" w:eastAsia="微软雅黑" w:cs="微软雅黑"/>
          <w:sz w:val="20"/>
        </w:rPr>
        <w:t>典型团队管理困境案例的分析研讨与演练</w:t>
      </w:r>
    </w:p>
    <w:p/>
    <w:p>
      <w:r>
        <w:rPr>
          <w:rFonts w:ascii="微软雅黑" w:hAnsi="微软雅黑" w:eastAsia="微软雅黑" w:cs="微软雅黑"/>
          <w:b/>
          <w:color w:val="000000"/>
          <w:sz w:val="22"/>
        </w:rPr>
        <w:t>模块五：掌握点燃团队激情的“团体动力促发的四个要素”</w:t>
      </w:r>
    </w:p>
    <w:p>
      <w:r>
        <w:rPr>
          <w:rFonts w:ascii="微软雅黑" w:hAnsi="微软雅黑" w:eastAsia="微软雅黑" w:cs="微软雅黑"/>
          <w:sz w:val="20"/>
        </w:rPr>
        <w:t>案例学习：员工对团队的心理期望？</w:t>
      </w:r>
    </w:p>
    <w:p>
      <w:r>
        <w:rPr>
          <w:rFonts w:ascii="微软雅黑" w:hAnsi="微软雅黑" w:eastAsia="微软雅黑" w:cs="微软雅黑"/>
          <w:sz w:val="20"/>
        </w:rPr>
        <w:t>学点团体心理学：建立相互支持和高度默契团队的关键四要素</w:t>
      </w:r>
    </w:p>
    <w:p>
      <w:r>
        <w:rPr>
          <w:rFonts w:ascii="微软雅黑" w:hAnsi="微软雅黑" w:eastAsia="微软雅黑" w:cs="微软雅黑"/>
          <w:sz w:val="20"/>
        </w:rPr>
        <w:t>练习四素：赢/欣赏/梦想/关怀</w:t>
      </w:r>
    </w:p>
    <w:p>
      <w:r>
        <w:rPr>
          <w:rFonts w:ascii="微软雅黑" w:hAnsi="微软雅黑" w:eastAsia="微软雅黑" w:cs="微软雅黑"/>
          <w:sz w:val="20"/>
        </w:rPr>
        <w:t>案例练习：运用团队动力来驱动促发升温团队激情</w:t>
      </w:r>
    </w:p>
    <w:p/>
    <w:p>
      <w:r>
        <w:rPr>
          <w:rFonts w:ascii="微软雅黑" w:hAnsi="微软雅黑" w:eastAsia="微软雅黑" w:cs="微软雅黑"/>
          <w:b/>
          <w:color w:val="000000"/>
          <w:sz w:val="22"/>
        </w:rPr>
        <w:t>模块六：管理者的自我关怀与激励</w:t>
      </w:r>
    </w:p>
    <w:p>
      <w:r>
        <w:rPr>
          <w:rFonts w:ascii="微软雅黑" w:hAnsi="微软雅黑" w:eastAsia="微软雅黑" w:cs="微软雅黑"/>
          <w:sz w:val="20"/>
        </w:rPr>
        <w:t>自我了解小练习：动物的游戏</w:t>
      </w:r>
    </w:p>
    <w:p>
      <w:r>
        <w:rPr>
          <w:rFonts w:ascii="微软雅黑" w:hAnsi="微软雅黑" w:eastAsia="微软雅黑" w:cs="微软雅黑"/>
          <w:sz w:val="20"/>
        </w:rPr>
        <w:t>自我洞察的练习：我心目中的优秀管理者？</w:t>
      </w:r>
    </w:p>
    <w:p>
      <w:r>
        <w:rPr>
          <w:rFonts w:ascii="微软雅黑" w:hAnsi="微软雅黑" w:eastAsia="微软雅黑" w:cs="微软雅黑"/>
          <w:sz w:val="20"/>
        </w:rPr>
        <w:t>管理者自己的情绪与压力管理：自我心理转化技术</w:t>
      </w:r>
    </w:p>
    <w:p>
      <w:r>
        <w:rPr>
          <w:rFonts w:ascii="微软雅黑" w:hAnsi="微软雅黑" w:eastAsia="微软雅黑" w:cs="微软雅黑"/>
          <w:sz w:val="20"/>
        </w:rPr>
        <w:t>管理者的自我激励：管理者自我的飞机图</w:t>
      </w:r>
    </w:p>
    <w:p>
      <w:r>
        <w:rPr>
          <w:rFonts w:ascii="微软雅黑" w:hAnsi="微软雅黑" w:eastAsia="微软雅黑" w:cs="微软雅黑"/>
          <w:sz w:val="20"/>
        </w:rPr>
        <w:t>管理者的自我激励练习：自我教练九问</w:t>
      </w:r>
    </w:p>
    <w:p/>
    <w:p>
      <w:r>
        <w:rPr>
          <w:rFonts w:ascii="微软雅黑" w:hAnsi="微软雅黑" w:eastAsia="微软雅黑" w:cs="微软雅黑"/>
          <w:b/>
          <w:color w:val="000000"/>
          <w:sz w:val="22"/>
        </w:rPr>
        <w:t>模块七：总结与展望</w:t>
      </w:r>
    </w:p>
    <w:p>
      <w:r>
        <w:rPr>
          <w:rFonts w:ascii="微软雅黑" w:hAnsi="微软雅黑" w:eastAsia="微软雅黑" w:cs="微软雅黑"/>
          <w:sz w:val="20"/>
        </w:rPr>
        <w:t>回顾培训的内容</w:t>
      </w:r>
    </w:p>
    <w:p>
      <w:r>
        <w:rPr>
          <w:rFonts w:ascii="微软雅黑" w:hAnsi="微软雅黑" w:eastAsia="微软雅黑" w:cs="微软雅黑"/>
          <w:sz w:val="20"/>
        </w:rPr>
        <w:t>总结培训的收获</w:t>
      </w:r>
    </w:p>
    <w:p>
      <w:r>
        <w:rPr>
          <w:rFonts w:ascii="微软雅黑" w:hAnsi="微软雅黑" w:eastAsia="微软雅黑" w:cs="微软雅黑"/>
          <w:sz w:val="20"/>
        </w:rPr>
        <w:t>制定行动计划</w:t>
      </w:r>
    </w:p>
    <w:p/>
    <w:p/>
    <w:p>
      <w:r>
        <w:rPr>
          <w:rFonts w:ascii="微软雅黑" w:hAnsi="微软雅黑" w:eastAsia="微软雅黑" w:cs="微软雅黑"/>
          <w:b/>
          <w:color w:val="2E74B5"/>
          <w:sz w:val="26"/>
        </w:rPr>
        <w:t>讲师介绍/Lecturer</w:t>
      </w:r>
    </w:p>
    <w:p>
      <w:r>
        <w:rPr>
          <w:rFonts w:ascii="微软雅黑" w:hAnsi="微软雅黑" w:eastAsia="微软雅黑" w:cs="微软雅黑"/>
          <w:b/>
          <w:color w:val="000000"/>
          <w:sz w:val="22"/>
        </w:rPr>
        <w:t>王老师</w:t>
      </w:r>
    </w:p>
    <w:p>
      <w:r>
        <w:rPr>
          <w:rFonts w:ascii="微软雅黑" w:hAnsi="微软雅黑" w:eastAsia="微软雅黑" w:cs="微软雅黑"/>
          <w:sz w:val="20"/>
        </w:rPr>
        <w:t>首都师范大学心理学研究生</w:t>
      </w:r>
    </w:p>
    <w:p>
      <w:r>
        <w:rPr>
          <w:rFonts w:ascii="微软雅黑" w:hAnsi="微软雅黑" w:eastAsia="微软雅黑" w:cs="微软雅黑"/>
          <w:sz w:val="20"/>
        </w:rPr>
        <w:t>原天力亚太中国区副总裁（跨国EAP公司）</w:t>
      </w:r>
    </w:p>
    <w:p>
      <w:r>
        <w:rPr>
          <w:rFonts w:ascii="微软雅黑" w:hAnsi="微软雅黑" w:eastAsia="微软雅黑" w:cs="微软雅黑"/>
          <w:sz w:val="20"/>
        </w:rPr>
        <w:t>国家EAP专业委员会首席顾问</w:t>
      </w:r>
    </w:p>
    <w:p>
      <w:r>
        <w:rPr>
          <w:rFonts w:ascii="微软雅黑" w:hAnsi="微软雅黑" w:eastAsia="微软雅黑" w:cs="微软雅黑"/>
          <w:sz w:val="20"/>
        </w:rPr>
        <w:t>德国MPE领导力测评师和教练</w:t>
      </w:r>
    </w:p>
    <w:p>
      <w:r>
        <w:rPr>
          <w:rFonts w:ascii="微软雅黑" w:hAnsi="微软雅黑" w:eastAsia="微软雅黑" w:cs="微软雅黑"/>
          <w:sz w:val="20"/>
        </w:rPr>
        <w:t>经理人的领导力教练</w:t>
      </w:r>
    </w:p>
    <w:p>
      <w:r>
        <w:rPr>
          <w:rFonts w:ascii="微软雅黑" w:hAnsi="微软雅黑" w:eastAsia="微软雅黑" w:cs="微软雅黑"/>
          <w:sz w:val="20"/>
        </w:rPr>
        <w:t>EAP 资深实战型专业讲师</w:t>
      </w:r>
    </w:p>
    <w:p>
      <w:r>
        <w:rPr>
          <w:rFonts w:ascii="微软雅黑" w:hAnsi="微软雅黑" w:eastAsia="微软雅黑" w:cs="微软雅黑"/>
          <w:sz w:val="20"/>
        </w:rPr>
        <w:t>变革/危机/员工心理管理专家</w:t>
      </w:r>
    </w:p>
    <w:p>
      <w:r>
        <w:rPr>
          <w:rFonts w:ascii="微软雅黑" w:hAnsi="微软雅黑" w:eastAsia="微软雅黑" w:cs="微软雅黑"/>
          <w:sz w:val="20"/>
        </w:rPr>
        <w:t>11年心理学在管理中应用的经验</w:t>
      </w:r>
    </w:p>
    <w:p>
      <w:r>
        <w:rPr>
          <w:rFonts w:ascii="微软雅黑" w:hAnsi="微软雅黑" w:eastAsia="微软雅黑" w:cs="微软雅黑"/>
          <w:sz w:val="20"/>
        </w:rPr>
        <w:t>3000多个个案的咨询经验</w:t>
      </w:r>
    </w:p>
    <w:p>
      <w:r>
        <w:rPr>
          <w:rFonts w:ascii="微软雅黑" w:hAnsi="微软雅黑" w:eastAsia="微软雅黑" w:cs="微软雅黑"/>
          <w:sz w:val="20"/>
        </w:rPr>
        <w:t>配合企业重大变革管理50多起</w:t>
      </w:r>
    </w:p>
    <w:p>
      <w:r>
        <w:rPr>
          <w:rFonts w:ascii="微软雅黑" w:hAnsi="微软雅黑" w:eastAsia="微软雅黑" w:cs="微软雅黑"/>
          <w:sz w:val="20"/>
        </w:rPr>
        <w:t>配合企业危机管理100多起</w:t>
      </w:r>
    </w:p>
    <w:p/>
    <w:p>
      <w:r>
        <w:rPr>
          <w:rFonts w:ascii="微软雅黑" w:hAnsi="微软雅黑" w:eastAsia="微软雅黑" w:cs="微软雅黑"/>
          <w:b/>
          <w:color w:val="000000"/>
          <w:sz w:val="22"/>
        </w:rPr>
        <w:t>背景介绍：</w:t>
      </w:r>
    </w:p>
    <w:p>
      <w:r>
        <w:rPr>
          <w:rFonts w:ascii="微软雅黑" w:hAnsi="微软雅黑" w:eastAsia="微软雅黑" w:cs="微软雅黑"/>
          <w:sz w:val="20"/>
        </w:rPr>
        <w:t>13年外企，2年国企，6年民企工作经验；</w:t>
      </w:r>
    </w:p>
    <w:p>
      <w:r>
        <w:rPr>
          <w:rFonts w:ascii="微软雅黑" w:hAnsi="微软雅黑" w:eastAsia="微软雅黑" w:cs="微软雅黑"/>
          <w:sz w:val="20"/>
        </w:rPr>
        <w:t>2年在管理、教练、讲师、EAP顾问、心理咨询师等的相关工作经验；</w:t>
      </w:r>
    </w:p>
    <w:p>
      <w:r>
        <w:rPr>
          <w:rFonts w:ascii="微软雅黑" w:hAnsi="微软雅黑" w:eastAsia="微软雅黑" w:cs="微软雅黑"/>
          <w:sz w:val="20"/>
        </w:rPr>
        <w:t>13年在管理咨询行业：人才测评项目、变革管理项目、危机管理项目等；</w:t>
      </w:r>
    </w:p>
    <w:p>
      <w:r>
        <w:rPr>
          <w:rFonts w:ascii="微软雅黑" w:hAnsi="微软雅黑" w:eastAsia="微软雅黑" w:cs="微软雅黑"/>
          <w:sz w:val="20"/>
        </w:rPr>
        <w:t>综合教育背景：工学学士、首都师范大学应用心理学研究生、管理教练、心理咨询师；</w:t>
      </w:r>
    </w:p>
    <w:p/>
    <w:p>
      <w:r>
        <w:rPr>
          <w:rFonts w:ascii="微软雅黑" w:hAnsi="微软雅黑" w:eastAsia="微软雅黑" w:cs="微软雅黑"/>
          <w:b/>
          <w:color w:val="000000"/>
          <w:sz w:val="22"/>
        </w:rPr>
        <w:t>擅长领域：</w:t>
      </w:r>
    </w:p>
    <w:p>
      <w:r>
        <w:rPr>
          <w:rFonts w:ascii="微软雅黑" w:hAnsi="微软雅黑" w:eastAsia="微软雅黑" w:cs="微软雅黑"/>
          <w:sz w:val="20"/>
        </w:rPr>
        <w:t>培训服务：</w:t>
      </w:r>
    </w:p>
    <w:p>
      <w:r>
        <w:rPr>
          <w:rFonts w:ascii="微软雅黑" w:hAnsi="微软雅黑" w:eastAsia="微软雅黑" w:cs="微软雅黑"/>
          <w:sz w:val="20"/>
        </w:rPr>
        <w:t>管理心理课程：《管理者的洞察力》《管理者情商》《非物质激励》《引领变革》《风险员工的识别与应对》《员工惯管理》</w:t>
      </w:r>
    </w:p>
    <w:p>
      <w:r>
        <w:rPr>
          <w:rFonts w:ascii="微软雅黑" w:hAnsi="微软雅黑" w:eastAsia="微软雅黑" w:cs="微软雅黑"/>
          <w:sz w:val="20"/>
        </w:rPr>
        <w:t>情商类课程：《压力情绪管理》《高情商沟通》《快乐工作》《以变应变》《逆境商》</w:t>
      </w:r>
    </w:p>
    <w:p/>
    <w:p>
      <w:r>
        <w:rPr>
          <w:rFonts w:ascii="微软雅黑" w:hAnsi="微软雅黑" w:eastAsia="微软雅黑" w:cs="微软雅黑"/>
          <w:sz w:val="20"/>
        </w:rPr>
        <w:t>顾问服务：</w:t>
      </w:r>
    </w:p>
    <w:p>
      <w:r>
        <w:rPr>
          <w:rFonts w:ascii="微软雅黑" w:hAnsi="微软雅黑" w:eastAsia="微软雅黑" w:cs="微软雅黑"/>
          <w:sz w:val="20"/>
        </w:rPr>
        <w:t>变革管理顾问</w:t>
      </w:r>
    </w:p>
    <w:p>
      <w:r>
        <w:rPr>
          <w:rFonts w:ascii="微软雅黑" w:hAnsi="微软雅黑" w:eastAsia="微软雅黑" w:cs="微软雅黑"/>
          <w:sz w:val="20"/>
        </w:rPr>
        <w:t>特殊员工的管理顾问</w:t>
      </w:r>
    </w:p>
    <w:p>
      <w:r>
        <w:rPr>
          <w:rFonts w:ascii="微软雅黑" w:hAnsi="微软雅黑" w:eastAsia="微软雅黑" w:cs="微软雅黑"/>
          <w:sz w:val="20"/>
        </w:rPr>
        <w:t>危机管理顾问</w:t>
      </w:r>
    </w:p>
    <w:p>
      <w:r>
        <w:rPr>
          <w:rFonts w:ascii="微软雅黑" w:hAnsi="微软雅黑" w:eastAsia="微软雅黑" w:cs="微软雅黑"/>
          <w:sz w:val="20"/>
        </w:rPr>
        <w:t>教练服务：</w:t>
      </w:r>
    </w:p>
    <w:p>
      <w:r>
        <w:rPr>
          <w:rFonts w:ascii="微软雅黑" w:hAnsi="微软雅黑" w:eastAsia="微软雅黑" w:cs="微软雅黑"/>
          <w:sz w:val="20"/>
        </w:rPr>
        <w:t>经理人潜能测评、经理人教练、升职辅导、转职教练。</w:t>
      </w:r>
    </w:p>
    <w:p/>
    <w:p>
      <w:r>
        <w:rPr>
          <w:rFonts w:ascii="微软雅黑" w:hAnsi="微软雅黑" w:eastAsia="微软雅黑" w:cs="微软雅黑"/>
          <w:b/>
          <w:color w:val="000000"/>
          <w:sz w:val="22"/>
        </w:rPr>
        <w:t>授课风格：</w:t>
      </w:r>
    </w:p>
    <w:p>
      <w:r>
        <w:rPr>
          <w:rFonts w:ascii="微软雅黑" w:hAnsi="微软雅黑" w:eastAsia="微软雅黑" w:cs="微软雅黑"/>
          <w:sz w:val="20"/>
        </w:rPr>
        <w:t>培训借鉴了心理咨询技术的各类体验式的方法，大量采用案例研讨、情境学习、实战模拟以及促动技术、行动学习等以学员为中心的训练等方式，使参与者在深度的体验中获得感悟和领会。为多家跨国公司开发并实施培训课程，拥有丰富的培训经验和高级教练辅导经验，课程深受员工喜爱。</w:t>
      </w:r>
    </w:p>
    <w:p>
      <w:r>
        <w:rPr>
          <w:rFonts w:ascii="微软雅黑" w:hAnsi="微软雅黑" w:eastAsia="微软雅黑" w:cs="微软雅黑"/>
          <w:sz w:val="20"/>
        </w:rPr>
        <w:t>注重课前的调查和课后的辅导落地</w:t>
      </w:r>
    </w:p>
    <w:p>
      <w:r>
        <w:rPr>
          <w:rFonts w:ascii="微软雅黑" w:hAnsi="微软雅黑" w:eastAsia="微软雅黑" w:cs="微软雅黑"/>
          <w:sz w:val="20"/>
        </w:rPr>
        <w:t>咨询式的培训、以学员痛点为核心</w:t>
      </w:r>
    </w:p>
    <w:p>
      <w:r>
        <w:rPr>
          <w:rFonts w:ascii="微软雅黑" w:hAnsi="微软雅黑" w:eastAsia="微软雅黑" w:cs="微软雅黑"/>
          <w:sz w:val="20"/>
        </w:rPr>
        <w:t>案例式培训以情境学习为主要形式</w:t>
      </w:r>
    </w:p>
    <w:p>
      <w:r>
        <w:rPr>
          <w:rFonts w:ascii="微软雅黑" w:hAnsi="微软雅黑" w:eastAsia="微软雅黑" w:cs="微软雅黑"/>
          <w:sz w:val="20"/>
        </w:rPr>
        <w:t>轻松幽默，互动性强，体验深刻</w:t>
      </w:r>
    </w:p>
    <w:p>
      <w:r>
        <w:rPr>
          <w:rFonts w:ascii="微软雅黑" w:hAnsi="微软雅黑" w:eastAsia="微软雅黑" w:cs="微软雅黑"/>
          <w:sz w:val="20"/>
        </w:rPr>
        <w:t>亲和力强，引导思考、注重实用性</w:t>
      </w:r>
    </w:p>
    <w:p/>
    <w:p>
      <w:r>
        <w:rPr>
          <w:rFonts w:ascii="微软雅黑" w:hAnsi="微软雅黑" w:eastAsia="微软雅黑" w:cs="微软雅黑"/>
          <w:b/>
          <w:color w:val="000000"/>
          <w:sz w:val="22"/>
        </w:rPr>
        <w:t>服务客户：</w:t>
      </w:r>
    </w:p>
    <w:p>
      <w:r>
        <w:rPr>
          <w:rFonts w:ascii="微软雅黑" w:hAnsi="微软雅黑" w:eastAsia="微软雅黑" w:cs="微软雅黑"/>
          <w:sz w:val="20"/>
        </w:rPr>
        <w:t>英特尔、IBM、陶氏化学、微软、汇丰银行、渣打银行、花旗银行、通用电气、YUM、伊顿、 爱普生、惠普、谷歌、空气化工、美孚石油、诺基亚、中金所、李宁、阿迪达斯、宝洁、延峰汽车、中国联通、宝钢集团、中国银行、中石油、星巴克、ITT、中国移动、海南航空、南方航空、利比等……</w:t>
      </w:r>
    </w:p>
    <w:p/>
    <w:p/>
    <w:sectPr>
      <w:headerReference r:id="rId4" w:type="first"/>
      <w:headerReference r:id="rId3" w:type="default"/>
      <w:type w:val="continuous"/>
      <w:pgSz w:w="11906" w:h="16838"/>
      <w:pgMar w:top="1440" w:right="1080" w:bottom="1440" w:left="108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D8D8D8" w:themeColor="background1" w:themeShade="D9" w:sz="6" w:space="8"/>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YjcxMDVjNTU5Y2FhZTRlYjE1Y2IxMzE4ZWZiMmMifQ=="/>
  </w:docVars>
  <w:rsids>
    <w:rsidRoot w:val="00000000"/>
    <w:rsid w:val="72294737"/>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nhideWhenUsed="0" w:uiPriority="99" w:semiHidden="0"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widowControl/>
      <w:spacing w:before="240" w:after="60"/>
      <w:jc w:val="left"/>
      <w:outlineLvl w:val="2"/>
    </w:pPr>
    <w:rPr>
      <w:rFonts w:ascii="Arial" w:hAnsi="Arial"/>
      <w:b/>
      <w:bCs/>
      <w:kern w:val="0"/>
      <w:sz w:val="26"/>
      <w:szCs w:val="26"/>
    </w:rPr>
  </w:style>
  <w:style w:type="character" w:default="1" w:styleId="7">
    <w:name w:val="Default Paragraph Font"/>
    <w:autoRedefine/>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qFormat/>
    <w:uiPriority w:val="99"/>
    <w:rPr>
      <w:sz w:val="18"/>
      <w:szCs w:val="18"/>
    </w:rPr>
  </w:style>
  <w:style w:type="character" w:customStyle="1" w:styleId="9">
    <w:name w:val="页脚 字符"/>
    <w:basedOn w:val="7"/>
    <w:qFormat/>
    <w:uiPriority w:val="99"/>
    <w:rPr>
      <w:sz w:val="18"/>
      <w:szCs w:val="18"/>
    </w:rPr>
  </w:style>
  <w:style w:type="table" w:customStyle="1" w:styleId="10">
    <w:name w:val="无格式表格 11"/>
    <w:basedOn w:val="5"/>
    <w:autoRedefine/>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styleId="11">
    <w:name w:val="List Paragraph"/>
    <w:basedOn w:val="1"/>
    <w:autoRedefine/>
    <w:qFormat/>
    <w:uiPriority w:val="34"/>
    <w:pPr>
      <w:ind w:firstLine="420" w:firstLineChars="200"/>
    </w:pPr>
  </w:style>
  <w:style w:type="paragraph" w:customStyle="1" w:styleId="12">
    <w:name w:val="列出段落1"/>
    <w:basedOn w:val="1"/>
    <w:qFormat/>
    <w:uiPriority w:val="99"/>
    <w:pPr>
      <w:ind w:firstLine="420" w:firstLineChars="200"/>
    </w:pPr>
  </w:style>
  <w:style w:type="paragraph" w:customStyle="1" w:styleId="13">
    <w:name w:val="p0"/>
    <w:basedOn w:val="1"/>
    <w:qFormat/>
    <w:uiPriority w:val="99"/>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E1FDD09F4F6D45E0A9385DA46B82129B</vt:lpwstr>
  </property>
</Properties>
</file>

<file path=customXml/item3.xml><?xml version="1.0" encoding="utf-8"?>
<Properties xmlns="http://schemas.openxmlformats.org/officeDocument/2006/extended-properties" xmlns:vt="http://schemas.openxmlformats.org/officeDocument/2006/docPropsVTypes">
  <Template>Normal.dotm</Template>
  <TotalTime>0</TotalTime>
  <Pages>1</Pages>
  <Words>12</Words>
  <Characters>69</Characters>
  <Application>Microsoft Office Word</Application>
  <DocSecurity>0</DocSecurity>
  <Lines>1</Lines>
  <Paragraphs>1</Paragraphs>
  <ScaleCrop>false</ScaleCrop>
  <Company/>
  <LinksUpToDate>false</LinksUpToDate>
  <CharactersWithSpaces>80</CharactersWithSpaces>
  <SharedDoc>false</SharedDoc>
  <HyperlinksChanged>false</HyperlinksChanged>
  <AppVersion>16.0000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229</cp:revision>
  <dcterms:created xsi:type="dcterms:W3CDTF">2021-12-30T11:55:00Z</dcterms:created>
  <dcterms:modified xsi:type="dcterms:W3CDTF">2023-01-13T01:40:00Z</dcterms:modified>
</cp:coreProperties>
</file>

<file path=customXml/itemProps1.xml><?xml version="1.0" encoding="utf-8"?>
<ds:datastoreItem xmlns:ds="http://schemas.openxmlformats.org/officeDocument/2006/customXml" ds:itemID="{4943E5E0-F2EA-4BA1-BC14-B3A66A82A148}">
  <ds:schemaRefs/>
</ds:datastoreItem>
</file>

<file path=customXml/itemProps2.xml><?xml version="1.0" encoding="utf-8"?>
<ds:datastoreItem xmlns:ds="http://schemas.openxmlformats.org/officeDocument/2006/customXml" ds:itemID="{e351fd92-cb8d-446a-956f-5c7cc6fdd488}">
  <ds:schemaRefs/>
</ds:datastoreItem>
</file>

<file path=customXml/itemProps3.xml><?xml version="1.0" encoding="utf-8"?>
<ds:datastoreItem xmlns:ds="http://schemas.openxmlformats.org/officeDocument/2006/customXml" ds:itemID="{23458446-c74e-4b87-9163-60b0f51b2cda}">
  <ds:schemaRefs/>
</ds:datastoreItem>
</file>

<file path=customXml/itemProps4.xml><?xml version="1.0" encoding="utf-8"?>
<ds:datastoreItem xmlns:ds="http://schemas.openxmlformats.org/officeDocument/2006/customXml" ds:itemID="{a284b5ea-3362-4f61-82ec-cf50be3848b2}">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Words>
  <Characters>69</Characters>
  <Lines>1</Lines>
  <Paragraphs>1</Paragraphs>
  <TotalTime>0</TotalTime>
  <ScaleCrop>false</ScaleCrop>
  <LinksUpToDate>false</LinksUpToDate>
  <CharactersWithSpaces>80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2021-12-30T11:55:00Z</dcterms:created>
  <dc:creator>Shen Penny</dc:creator>
  <cp:lastModifiedBy>Yan</cp:lastModifiedBy>
  <dcterms:modified xsi:type="dcterms:W3CDTF">2024-03-28T06:36:53Z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B155B88639D445C596FE118EB2C289E6_13</vt:lpwstr>
  </property>
</Properties>
</file>