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1A09D">
      <w:pPr>
        <w:jc w:val="center"/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  <w:lang w:eastAsia="zh-CN"/>
        </w:rPr>
        <w:t>《</w:t>
      </w: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</w:rPr>
        <w:t>蝶变</w:t>
      </w: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  <w:vertAlign w:val="superscript"/>
        </w:rPr>
        <w:t>©</w:t>
      </w: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</w:rPr>
        <w:t>管理者情境修炼</w:t>
      </w: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  <w:lang w:eastAsia="zh-CN"/>
        </w:rPr>
        <w:t>》</w:t>
      </w:r>
    </w:p>
    <w:p w14:paraId="702DCA1D">
      <w:pPr>
        <w:jc w:val="center"/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4A452A" w:themeColor="background2" w:themeShade="40"/>
          <w:spacing w:val="8"/>
          <w:sz w:val="36"/>
          <w:szCs w:val="36"/>
          <w:shd w:val="clear" w:color="auto" w:fill="FFFFFF"/>
        </w:rPr>
        <w:t>（情境案例场景化课程）</w:t>
      </w:r>
    </w:p>
    <w:p w14:paraId="1C1EAA44">
      <w:pPr>
        <w:widowControl/>
        <w:spacing w:line="420" w:lineRule="exact"/>
        <w:jc w:val="left"/>
        <w:rPr>
          <w:rFonts w:hint="eastAsia" w:ascii="Microsoft YaHei Regular" w:hAnsi="Microsoft YaHei Regular" w:eastAsia="Microsoft YaHei Regular" w:cs="Microsoft YaHei Regular"/>
          <w:b/>
          <w:color w:val="C3230D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kern w:val="0"/>
          <w:sz w:val="21"/>
          <w:szCs w:val="21"/>
        </w:rPr>
        <w:t>【课程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kern w:val="0"/>
          <w:sz w:val="21"/>
          <w:szCs w:val="21"/>
          <w:lang w:val="en-US" w:eastAsia="zh-Hans"/>
        </w:rPr>
        <w:t>排期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kern w:val="0"/>
          <w:sz w:val="21"/>
          <w:szCs w:val="21"/>
        </w:rPr>
        <w:t>】</w:t>
      </w:r>
    </w:p>
    <w:p w14:paraId="214E3B96">
      <w:pPr>
        <w:spacing w:line="276" w:lineRule="auto"/>
        <w:jc w:val="both"/>
        <w:rPr>
          <w:rFonts w:hint="default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6月6日-7日广州，8月8日-9日北京，10月24日-25日深圳，12月12日-13日杭州</w:t>
      </w:r>
    </w:p>
    <w:p w14:paraId="74B017B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b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980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val="en-US"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u w:val="single"/>
          <w:lang w:val="en-US" w:eastAsia="zh-Hans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（差旅费用请自理）</w:t>
      </w:r>
    </w:p>
    <w:p w14:paraId="27AFA802">
      <w:pPr>
        <w:widowControl/>
        <w:shd w:val="clear" w:color="auto" w:fill="FFFFFF"/>
        <w:spacing w:before="312" w:beforeLines="100" w:line="360" w:lineRule="auto"/>
        <w:ind w:right="120" w:rightChars="57"/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  <w:t>【课程背景】</w:t>
      </w:r>
    </w:p>
    <w:p w14:paraId="556F2754">
      <w:pPr>
        <w:spacing w:before="156" w:beforeLines="50" w:line="400" w:lineRule="exact"/>
        <w:ind w:firstLine="480" w:firstLineChars="20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管理即实践，学习场景与实际工作应用场景越接近，学习的内容就越容易被应用。本课程以管理者在工作实践中必然遇到的典型管理问题为情境案例，采用全情境沙盘教学方式，课堂上引导学员对这一系列真实管理问题进行热烈讨论和深入剖析，探究问题的本质，在实战中快速提炼和萃取打法，将其沉淀在未来的业务工作中，提升学员的“作战”能力。</w:t>
      </w:r>
    </w:p>
    <w:p w14:paraId="2444A433">
      <w:pPr>
        <w:spacing w:before="156" w:beforeLines="50" w:line="400" w:lineRule="exact"/>
        <w:ind w:firstLine="480" w:firstLineChars="20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课程将30多个知识点和实用管理工具布局在学习活动过程中，并通过跌宕起伏的课程剧情，生活形象的人物角色，小组之间的激励PK，令人深思的体悟。实用落地的管理工具呈现，让复杂的管理问题学起来更加有趣，让内容更加“实用、实效、实在”。</w:t>
      </w:r>
    </w:p>
    <w:p w14:paraId="6206A07D">
      <w:pPr>
        <w:widowControl/>
        <w:shd w:val="clear" w:color="auto" w:fill="FFFFFF"/>
        <w:spacing w:before="156" w:beforeLines="50"/>
        <w:ind w:right="120" w:rightChars="57"/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  <w:t>【课程收益】</w:t>
      </w:r>
    </w:p>
    <w:p w14:paraId="013DA4C6">
      <w:pPr>
        <w:pStyle w:val="15"/>
        <w:numPr>
          <w:ilvl w:val="0"/>
          <w:numId w:val="1"/>
        </w:numPr>
        <w:spacing w:line="400" w:lineRule="exact"/>
        <w:ind w:left="901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全面认知管理者的角色和职责，掌握角色快速转变的技能和方法</w:t>
      </w:r>
    </w:p>
    <w:p w14:paraId="34E7017E">
      <w:pPr>
        <w:pStyle w:val="15"/>
        <w:numPr>
          <w:ilvl w:val="0"/>
          <w:numId w:val="1"/>
        </w:numPr>
        <w:spacing w:line="400" w:lineRule="exact"/>
        <w:ind w:left="901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能够理解和影响他人，有效进行资源整合，达成目标</w:t>
      </w:r>
    </w:p>
    <w:p w14:paraId="1D311625">
      <w:pPr>
        <w:pStyle w:val="15"/>
        <w:numPr>
          <w:ilvl w:val="0"/>
          <w:numId w:val="1"/>
        </w:numPr>
        <w:spacing w:line="400" w:lineRule="exact"/>
        <w:ind w:left="901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解码管理中的360度沟通策略，处理不同的人际关系与冲突</w:t>
      </w:r>
    </w:p>
    <w:p w14:paraId="7F2B4079">
      <w:pPr>
        <w:pStyle w:val="15"/>
        <w:numPr>
          <w:ilvl w:val="0"/>
          <w:numId w:val="1"/>
        </w:numPr>
        <w:spacing w:line="400" w:lineRule="exact"/>
        <w:ind w:left="901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洞悉员工的心理，打造积极的团队氛围，树立威信，建设高绩效团队</w:t>
      </w:r>
    </w:p>
    <w:p w14:paraId="39555EE7">
      <w:pPr>
        <w:pStyle w:val="15"/>
        <w:numPr>
          <w:ilvl w:val="0"/>
          <w:numId w:val="1"/>
        </w:numPr>
        <w:spacing w:line="400" w:lineRule="exact"/>
        <w:ind w:left="901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获取一套处理实际典型管理场景中的有效方法和技巧</w:t>
      </w:r>
    </w:p>
    <w:p w14:paraId="782AF0C0">
      <w:pPr>
        <w:widowControl/>
        <w:shd w:val="clear" w:color="auto" w:fill="FFFFFF"/>
        <w:spacing w:line="360" w:lineRule="auto"/>
        <w:ind w:right="120" w:rightChars="57"/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  <w:t>【课程特色】</w:t>
      </w:r>
    </w:p>
    <w:p w14:paraId="5B55CD17">
      <w:pPr>
        <w:pStyle w:val="15"/>
        <w:numPr>
          <w:ilvl w:val="0"/>
          <w:numId w:val="2"/>
        </w:numPr>
        <w:spacing w:line="46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A452A" w:themeColor="background2" w:themeShade="40"/>
          <w:spacing w:val="15"/>
          <w:kern w:val="0"/>
          <w:sz w:val="21"/>
          <w:szCs w:val="21"/>
          <w:u w:val="single"/>
        </w:rPr>
        <w:t>场景化、精准化：</w:t>
      </w: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以管理者实际工作内容为主线，采用全情景案例教学，十二个典型工作场景还原管理者实际遇到的挑战和问题，用以致学。</w:t>
      </w:r>
    </w:p>
    <w:p w14:paraId="05A9DEF9">
      <w:pPr>
        <w:pStyle w:val="15"/>
        <w:numPr>
          <w:ilvl w:val="0"/>
          <w:numId w:val="2"/>
        </w:numPr>
        <w:spacing w:line="46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A452A" w:themeColor="background2" w:themeShade="40"/>
          <w:spacing w:val="15"/>
          <w:kern w:val="0"/>
          <w:sz w:val="21"/>
          <w:szCs w:val="21"/>
          <w:u w:val="single"/>
        </w:rPr>
        <w:t>启发性、思考性：</w:t>
      </w: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以情境为载体，引发学员思考，促进学习迁移，培养管理者问题分析与解决问题的多样性、自主性、创造性。</w:t>
      </w:r>
    </w:p>
    <w:p w14:paraId="60DBB459">
      <w:pPr>
        <w:pStyle w:val="15"/>
        <w:numPr>
          <w:ilvl w:val="0"/>
          <w:numId w:val="2"/>
        </w:numPr>
        <w:spacing w:line="46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4A452A" w:themeColor="background2" w:themeShade="40"/>
          <w:spacing w:val="15"/>
          <w:kern w:val="0"/>
          <w:sz w:val="21"/>
          <w:szCs w:val="21"/>
          <w:u w:val="single"/>
        </w:rPr>
        <w:t>实战性、落地性：</w:t>
      </w: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有针对性的演练和探讨分析，并非空洞的管理理论，而是帮助管理者锤炼每一步管理动作，及时把工具“落地”，切实帮助学员改善行为，提升技能。</w:t>
      </w:r>
    </w:p>
    <w:p w14:paraId="39F3292E">
      <w:pPr>
        <w:spacing w:line="360" w:lineRule="auto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  <w:t>【参加对象】</w:t>
      </w:r>
    </w:p>
    <w:p w14:paraId="10F1143C">
      <w:pPr>
        <w:pStyle w:val="15"/>
        <w:numPr>
          <w:ilvl w:val="0"/>
          <w:numId w:val="3"/>
        </w:numPr>
        <w:spacing w:line="40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新晋升管理者</w:t>
      </w:r>
    </w:p>
    <w:p w14:paraId="0BA1F7AD">
      <w:pPr>
        <w:pStyle w:val="15"/>
        <w:numPr>
          <w:ilvl w:val="0"/>
          <w:numId w:val="3"/>
        </w:numPr>
        <w:spacing w:line="40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即将成为管理者的储备管理人才</w:t>
      </w:r>
    </w:p>
    <w:p w14:paraId="5FA74BF6">
      <w:pPr>
        <w:pStyle w:val="15"/>
        <w:numPr>
          <w:ilvl w:val="0"/>
          <w:numId w:val="3"/>
        </w:numPr>
        <w:spacing w:line="40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储备、后备中基层管理者</w:t>
      </w:r>
    </w:p>
    <w:p w14:paraId="301A0B56">
      <w:pPr>
        <w:pStyle w:val="15"/>
        <w:numPr>
          <w:ilvl w:val="0"/>
          <w:numId w:val="3"/>
        </w:numPr>
        <w:spacing w:line="400" w:lineRule="exact"/>
        <w:ind w:left="862" w:hanging="442" w:firstLineChars="0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pacing w:val="15"/>
          <w:kern w:val="0"/>
          <w:sz w:val="21"/>
          <w:szCs w:val="21"/>
        </w:rPr>
        <w:t>需要夯实管理动作和提升管理和领导力的管理者</w:t>
      </w:r>
    </w:p>
    <w:p w14:paraId="106D81EA">
      <w:pPr>
        <w:spacing w:line="360" w:lineRule="auto"/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  <w:t>【教学方法】</w:t>
      </w:r>
    </w:p>
    <w:p w14:paraId="508398F4">
      <w:pPr>
        <w:spacing w:line="360" w:lineRule="auto"/>
        <w:rPr>
          <w:rFonts w:hint="eastAsia" w:ascii="Microsoft YaHei Regular" w:hAnsi="Microsoft YaHei Regular" w:eastAsia="Microsoft YaHei Regular" w:cs="Microsoft YaHei Regular"/>
          <w:color w:val="262626" w:themeColor="text1" w:themeTint="D9"/>
          <w:spacing w:val="15"/>
          <w:kern w:val="0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color w:val="262626" w:themeColor="text1" w:themeTint="D9"/>
          <w:spacing w:val="15"/>
          <w:kern w:val="0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讲授（50%）+案例研讨（30%）+小组活动研讨（15%）+视频教学（5%）</w:t>
      </w:r>
    </w:p>
    <w:p w14:paraId="791D07A3">
      <w:pPr>
        <w:spacing w:line="360" w:lineRule="auto"/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00000"/>
          <w:spacing w:val="15"/>
          <w:kern w:val="0"/>
          <w:sz w:val="21"/>
          <w:szCs w:val="21"/>
        </w:rPr>
        <w:t>【课程大纲】</w:t>
      </w:r>
    </w:p>
    <w:tbl>
      <w:tblPr>
        <w:tblStyle w:val="8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5686"/>
        <w:gridCol w:w="2547"/>
      </w:tblGrid>
      <w:tr w14:paraId="0ADE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9" w:type="dxa"/>
            <w:shd w:val="clear" w:color="auto" w:fill="585858" w:themeFill="text1" w:themeFillTint="A6"/>
          </w:tcPr>
          <w:p w14:paraId="0CA95624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FFFFFF" w:themeColor="background1"/>
                <w:spacing w:val="15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FFFFFF" w:themeColor="background1"/>
                <w:spacing w:val="15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模块</w:t>
            </w:r>
          </w:p>
        </w:tc>
        <w:tc>
          <w:tcPr>
            <w:tcW w:w="5686" w:type="dxa"/>
            <w:shd w:val="clear" w:color="auto" w:fill="585858" w:themeFill="text1" w:themeFillTint="A6"/>
          </w:tcPr>
          <w:p w14:paraId="424C7983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FFFFFF" w:themeColor="background1"/>
                <w:spacing w:val="15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FFFFFF" w:themeColor="background1"/>
                <w:spacing w:val="15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主要内容</w:t>
            </w:r>
          </w:p>
        </w:tc>
        <w:tc>
          <w:tcPr>
            <w:tcW w:w="2547" w:type="dxa"/>
            <w:shd w:val="clear" w:color="auto" w:fill="585858" w:themeFill="text1" w:themeFillTint="A6"/>
          </w:tcPr>
          <w:p w14:paraId="6D6EB343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FFFFFF" w:themeColor="background1"/>
                <w:spacing w:val="15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FFFFFF" w:themeColor="background1"/>
                <w:spacing w:val="15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学习活动/工具方法</w:t>
            </w:r>
          </w:p>
        </w:tc>
      </w:tr>
      <w:tr w14:paraId="4E63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40FF4A39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6028A69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课程导入</w:t>
            </w:r>
          </w:p>
          <w:p w14:paraId="1429EB03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0.5H</w:t>
            </w:r>
          </w:p>
        </w:tc>
        <w:tc>
          <w:tcPr>
            <w:tcW w:w="5686" w:type="dxa"/>
          </w:tcPr>
          <w:p w14:paraId="3A33A98A">
            <w:pPr>
              <w:pStyle w:val="15"/>
              <w:numPr>
                <w:ilvl w:val="1"/>
                <w:numId w:val="4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学习目标共识</w:t>
            </w:r>
          </w:p>
          <w:p w14:paraId="423B6DCF">
            <w:pPr>
              <w:pStyle w:val="15"/>
              <w:numPr>
                <w:ilvl w:val="1"/>
                <w:numId w:val="4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学习规则澄清</w:t>
            </w:r>
          </w:p>
          <w:p w14:paraId="01F27AF3">
            <w:pPr>
              <w:pStyle w:val="15"/>
              <w:numPr>
                <w:ilvl w:val="1"/>
                <w:numId w:val="4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管理者360度沟通生态</w:t>
            </w:r>
          </w:p>
        </w:tc>
        <w:tc>
          <w:tcPr>
            <w:tcW w:w="2547" w:type="dxa"/>
          </w:tcPr>
          <w:p w14:paraId="5B58EE78">
            <w:pPr>
              <w:pStyle w:val="15"/>
              <w:numPr>
                <w:ilvl w:val="0"/>
                <w:numId w:val="5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小组活动：团队建设</w:t>
            </w:r>
          </w:p>
          <w:p w14:paraId="0DC0B945">
            <w:pPr>
              <w:pStyle w:val="15"/>
              <w:spacing w:line="276" w:lineRule="auto"/>
              <w:ind w:left="420" w:firstLine="0"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</w:tr>
      <w:tr w14:paraId="2FEA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6B3E681E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64788B5F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11BDED63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17915CB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模块一</w:t>
            </w:r>
          </w:p>
          <w:p w14:paraId="0C228C4A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重启角色，强化思维</w:t>
            </w:r>
          </w:p>
          <w:p w14:paraId="2A506A8F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2H</w:t>
            </w:r>
          </w:p>
        </w:tc>
        <w:tc>
          <w:tcPr>
            <w:tcW w:w="5686" w:type="dxa"/>
          </w:tcPr>
          <w:p w14:paraId="3F704E53">
            <w:pPr>
              <w:spacing w:line="276" w:lineRule="auto"/>
              <w:jc w:val="left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情境案例1：一份不满意的服务清单</w:t>
            </w:r>
          </w:p>
          <w:p w14:paraId="586F156D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什么是管理者</w:t>
            </w:r>
          </w:p>
          <w:p w14:paraId="02C37AE1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正确理解“通过他人</w:t>
            </w:r>
          </w:p>
          <w:p w14:paraId="5C4D7B40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管理者全面职责认知</w:t>
            </w:r>
          </w:p>
          <w:p w14:paraId="5B47E305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管理者重要的角色</w:t>
            </w:r>
          </w:p>
          <w:p w14:paraId="05668678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突破思维和能力的局限</w:t>
            </w:r>
          </w:p>
          <w:p w14:paraId="6A14CC42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发挥管理者的魅力</w:t>
            </w:r>
          </w:p>
        </w:tc>
        <w:tc>
          <w:tcPr>
            <w:tcW w:w="2547" w:type="dxa"/>
          </w:tcPr>
          <w:p w14:paraId="3EB44EFF">
            <w:pPr>
              <w:pStyle w:val="15"/>
              <w:numPr>
                <w:ilvl w:val="0"/>
                <w:numId w:val="5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自我测试：管理者管理行为诊断</w:t>
            </w:r>
          </w:p>
          <w:p w14:paraId="03503D71">
            <w:pPr>
              <w:pStyle w:val="15"/>
              <w:numPr>
                <w:ilvl w:val="0"/>
                <w:numId w:val="5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工具：《卓越管理者22项行为要求》</w:t>
            </w:r>
          </w:p>
          <w:p w14:paraId="3AECF7CA">
            <w:pPr>
              <w:pStyle w:val="15"/>
              <w:spacing w:line="276" w:lineRule="auto"/>
              <w:ind w:left="420" w:firstLine="0"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</w:tr>
      <w:tr w14:paraId="7A40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54A7C5C0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DD8233F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4226ECB7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35C6FFFE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472E05CC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3CC161F7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模块二</w:t>
            </w:r>
          </w:p>
          <w:p w14:paraId="1531AAA5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有效影响，获取支持</w:t>
            </w:r>
          </w:p>
          <w:p w14:paraId="590C15D5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2H</w:t>
            </w:r>
          </w:p>
        </w:tc>
        <w:tc>
          <w:tcPr>
            <w:tcW w:w="5686" w:type="dxa"/>
          </w:tcPr>
          <w:p w14:paraId="336C0CB8">
            <w:pPr>
              <w:spacing w:line="276" w:lineRule="auto"/>
              <w:jc w:val="left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262626" w:themeColor="text1" w:themeTint="D9"/>
                <w:spacing w:val="15"/>
                <w:kern w:val="0"/>
                <w:sz w:val="21"/>
                <w:szCs w:val="21"/>
                <w:u w:val="singl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262626" w:themeColor="text1" w:themeTint="D9"/>
                <w:spacing w:val="15"/>
                <w:kern w:val="0"/>
                <w:sz w:val="21"/>
                <w:szCs w:val="21"/>
                <w:u w:val="singl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情境案例2：获取上级的人力资源支持</w:t>
            </w:r>
          </w:p>
          <w:p w14:paraId="0D87C1AD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武装自己的阳台思维</w:t>
            </w:r>
          </w:p>
          <w:p w14:paraId="783FD5D3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厘清上级提供的两大关键资源</w:t>
            </w:r>
          </w:p>
          <w:p w14:paraId="2C1DD288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获取上级资源支持的4个关键</w:t>
            </w:r>
          </w:p>
          <w:p w14:paraId="35B8891A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不同管理风格的上级沟通策略</w:t>
            </w:r>
          </w:p>
          <w:p w14:paraId="03706F9C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了解别人眼中的自己</w:t>
            </w:r>
          </w:p>
          <w:p w14:paraId="23A8FA78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向上级汇报工作的3+1+1原则</w:t>
            </w:r>
          </w:p>
          <w:p w14:paraId="6589FD28">
            <w:pPr>
              <w:spacing w:line="276" w:lineRule="auto"/>
              <w:jc w:val="left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262626" w:themeColor="text1" w:themeTint="D9"/>
                <w:spacing w:val="15"/>
                <w:kern w:val="0"/>
                <w:sz w:val="21"/>
                <w:szCs w:val="21"/>
                <w:u w:val="singl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262626" w:themeColor="text1" w:themeTint="D9"/>
                <w:spacing w:val="15"/>
                <w:kern w:val="0"/>
                <w:sz w:val="21"/>
                <w:szCs w:val="21"/>
                <w:u w:val="singl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情境案例3：获取跨部门同事的工作协同</w:t>
            </w:r>
          </w:p>
          <w:p w14:paraId="79C1CE8E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跨部门协作难的原因</w:t>
            </w:r>
          </w:p>
          <w:p w14:paraId="1B1E146D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协同管理的底层逻辑</w:t>
            </w:r>
          </w:p>
          <w:p w14:paraId="6C02505E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突破上下级之间的认知偏差</w:t>
            </w:r>
          </w:p>
          <w:p w14:paraId="618E7E2E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给予请求一个合理的理由</w:t>
            </w:r>
          </w:p>
          <w:p w14:paraId="3FAE7F9E">
            <w:pPr>
              <w:pStyle w:val="15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“承诺一致性”的合理应用</w:t>
            </w:r>
          </w:p>
        </w:tc>
        <w:tc>
          <w:tcPr>
            <w:tcW w:w="2547" w:type="dxa"/>
          </w:tcPr>
          <w:p w14:paraId="6671FE42">
            <w:pPr>
              <w:pStyle w:val="15"/>
              <w:numPr>
                <w:ilvl w:val="0"/>
                <w:numId w:val="7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小组活动：别人眼中的自己</w:t>
            </w:r>
          </w:p>
          <w:p w14:paraId="78BEE5E3">
            <w:pPr>
              <w:pStyle w:val="15"/>
              <w:numPr>
                <w:ilvl w:val="0"/>
                <w:numId w:val="7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工具：《获取上级资源支持流程》</w:t>
            </w:r>
          </w:p>
          <w:p w14:paraId="2462B82D">
            <w:pPr>
              <w:pStyle w:val="15"/>
              <w:spacing w:line="276" w:lineRule="auto"/>
              <w:ind w:left="440" w:firstLine="0"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</w:tr>
      <w:tr w14:paraId="1341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0FDCE2DF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368368C">
            <w:pP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70B358DC">
            <w:pP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2F7C9E4A">
            <w:pPr>
              <w:spacing w:line="276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模块三</w:t>
            </w:r>
          </w:p>
          <w:p w14:paraId="5D4D5C20">
            <w:pPr>
              <w:spacing w:line="276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目标管理，推动执行</w:t>
            </w:r>
          </w:p>
          <w:p w14:paraId="179C5D06">
            <w:pPr>
              <w:spacing w:line="276" w:lineRule="auto"/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2.5H</w:t>
            </w:r>
          </w:p>
          <w:p w14:paraId="2A91790C">
            <w:pP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42E17FC2">
            <w:pP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5686" w:type="dxa"/>
          </w:tcPr>
          <w:p w14:paraId="5CA62C29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 xml:space="preserve">情境案例4：为什么总是把这些棘手的工作交给我？ </w:t>
            </w:r>
          </w:p>
          <w:p w14:paraId="6DF91781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洞悉95后员工职场工作需求</w:t>
            </w:r>
          </w:p>
          <w:p w14:paraId="12632629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上下级之间的工作期待偏差</w:t>
            </w:r>
          </w:p>
          <w:p w14:paraId="08079E50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塑造高情商的管理者</w:t>
            </w:r>
          </w:p>
          <w:p w14:paraId="1F093E0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学会洞察下属情绪</w:t>
            </w:r>
          </w:p>
          <w:p w14:paraId="6B5F0EE0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挑战任务共识三步法</w:t>
            </w:r>
          </w:p>
          <w:p w14:paraId="38CA87A9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情境案例5：制定目标并与下属达成工作共识</w:t>
            </w:r>
          </w:p>
          <w:p w14:paraId="7E100CD6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目标制定的关键原则</w:t>
            </w:r>
          </w:p>
          <w:p w14:paraId="40FE6818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让员工具备能力</w:t>
            </w:r>
          </w:p>
          <w:p w14:paraId="607A049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提供员工可用资源</w:t>
            </w:r>
          </w:p>
          <w:p w14:paraId="59BC0F96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赋予工作意义和价值</w:t>
            </w:r>
          </w:p>
          <w:p w14:paraId="6F14AE6E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用成长性思维设定目标</w:t>
            </w:r>
          </w:p>
          <w:p w14:paraId="4B1A2A1E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情境案例6：任务相同，为何结果不同？</w:t>
            </w:r>
          </w:p>
          <w:p w14:paraId="380D5B86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员工执行中的四类问题</w:t>
            </w:r>
          </w:p>
          <w:p w14:paraId="13DF928E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准确传递工作目标和要求</w:t>
            </w:r>
          </w:p>
          <w:p w14:paraId="08931925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根据意愿和能力完成人事匹配</w:t>
            </w:r>
          </w:p>
          <w:p w14:paraId="1A36545F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打好手里的牌，发挥下属最大价值</w:t>
            </w:r>
          </w:p>
          <w:p w14:paraId="734AAFA7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获得下属承诺</w:t>
            </w:r>
          </w:p>
        </w:tc>
        <w:tc>
          <w:tcPr>
            <w:tcW w:w="2547" w:type="dxa"/>
          </w:tcPr>
          <w:p w14:paraId="3ED059D6">
            <w:pPr>
              <w:pStyle w:val="15"/>
              <w:numPr>
                <w:ilvl w:val="0"/>
                <w:numId w:val="9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工具：《人与事匹配分派指南》</w:t>
            </w:r>
          </w:p>
          <w:p w14:paraId="2D12A2CF">
            <w:pPr>
              <w:pStyle w:val="15"/>
              <w:numPr>
                <w:ilvl w:val="0"/>
                <w:numId w:val="9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工具：《岗位实践经验总结输出》</w:t>
            </w:r>
          </w:p>
          <w:p w14:paraId="1B5C2E51">
            <w:pPr>
              <w:pStyle w:val="15"/>
              <w:numPr>
                <w:ilvl w:val="0"/>
                <w:numId w:val="9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小组活动：获取关键资源</w:t>
            </w:r>
          </w:p>
        </w:tc>
      </w:tr>
      <w:tr w14:paraId="1A29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06FD32CA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27451B98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13B4277A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22B25D5A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2681E920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6F0BC879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E9B7D2B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模块四</w:t>
            </w:r>
          </w:p>
          <w:p w14:paraId="6EA989CE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辅导下属，激励前行</w:t>
            </w:r>
          </w:p>
          <w:p w14:paraId="24E49BD6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2H</w:t>
            </w:r>
          </w:p>
        </w:tc>
        <w:tc>
          <w:tcPr>
            <w:tcW w:w="5686" w:type="dxa"/>
          </w:tcPr>
          <w:p w14:paraId="54806515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情境案例7：监督上级工作进度的下属</w:t>
            </w:r>
          </w:p>
          <w:p w14:paraId="55CABF11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什么是辅导</w:t>
            </w:r>
          </w:p>
          <w:p w14:paraId="568370CC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成功辅导中的“3力”</w:t>
            </w:r>
          </w:p>
          <w:p w14:paraId="0244C203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学会“探寻式”提问</w:t>
            </w:r>
          </w:p>
          <w:p w14:paraId="1DB57726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因材施教：三类员工不同辅导情境</w:t>
            </w:r>
          </w:p>
          <w:p w14:paraId="468BE5F2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激发不同下属的燃性</w:t>
            </w:r>
          </w:p>
          <w:p w14:paraId="22D399E6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情境案例8：一份出色的调研报告</w:t>
            </w:r>
          </w:p>
          <w:p w14:paraId="2AC3D7D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激励表扬下属的原则</w:t>
            </w:r>
          </w:p>
          <w:p w14:paraId="087FEB7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在正向辅导反馈中强化行为</w:t>
            </w:r>
          </w:p>
          <w:p w14:paraId="363CF275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在负向批评反馈中反思成长</w:t>
            </w:r>
          </w:p>
          <w:p w14:paraId="741D7543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善用工作中的非物质激励方式</w:t>
            </w:r>
          </w:p>
          <w:p w14:paraId="713B279F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让下属享受到成就感</w:t>
            </w:r>
          </w:p>
        </w:tc>
        <w:tc>
          <w:tcPr>
            <w:tcW w:w="2547" w:type="dxa"/>
          </w:tcPr>
          <w:p w14:paraId="6A33ADA0">
            <w:pPr>
              <w:pStyle w:val="15"/>
              <w:numPr>
                <w:ilvl w:val="0"/>
                <w:numId w:val="10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  <w:t>小组研讨：工作中的非物质激励方式</w:t>
            </w:r>
          </w:p>
          <w:p w14:paraId="2EB16B6A">
            <w:pPr>
              <w:pStyle w:val="15"/>
              <w:numPr>
                <w:ilvl w:val="0"/>
                <w:numId w:val="10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  <w:t>工具：《正向\负向激励公式》</w:t>
            </w:r>
          </w:p>
          <w:p w14:paraId="173E572C">
            <w:pPr>
              <w:pStyle w:val="15"/>
              <w:numPr>
                <w:ilvl w:val="0"/>
                <w:numId w:val="10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  <w:t>工具：《教练式管理者赋能团队提问清单》</w:t>
            </w:r>
          </w:p>
          <w:p w14:paraId="056BF886">
            <w:pPr>
              <w:pStyle w:val="15"/>
              <w:numPr>
                <w:ilvl w:val="0"/>
                <w:numId w:val="10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8"/>
                <w:sz w:val="21"/>
                <w:szCs w:val="21"/>
                <w:shd w:val="clear" w:color="auto" w:fill="FFFFFF"/>
              </w:rPr>
              <w:t xml:space="preserve">自我诊断：管理者辅导下属行为清单 </w:t>
            </w:r>
          </w:p>
        </w:tc>
      </w:tr>
      <w:tr w14:paraId="5505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36F3E8AB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7DF36BA6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4552604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0846D657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4E96A6FC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62D1069F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5227303E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4AB0749E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7CA61EC7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  <w:p w14:paraId="66F25E04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模块五</w:t>
            </w:r>
          </w:p>
          <w:p w14:paraId="714D0CE5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凝聚人心，营造氛围</w:t>
            </w:r>
          </w:p>
          <w:p w14:paraId="598913D2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4H</w:t>
            </w:r>
          </w:p>
          <w:p w14:paraId="0598D428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5686" w:type="dxa"/>
          </w:tcPr>
          <w:p w14:paraId="3225A106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情境案例9：团队中的祥林嫂</w:t>
            </w:r>
          </w:p>
          <w:p w14:paraId="76F43AA5">
            <w:pPr>
              <w:pStyle w:val="15"/>
              <w:numPr>
                <w:ilvl w:val="1"/>
                <w:numId w:val="11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给下属传递信心</w:t>
            </w:r>
          </w:p>
          <w:p w14:paraId="2A2ECFA0">
            <w:pPr>
              <w:pStyle w:val="15"/>
              <w:numPr>
                <w:ilvl w:val="1"/>
                <w:numId w:val="11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分享荣誉事件</w:t>
            </w:r>
          </w:p>
          <w:p w14:paraId="7172CE22">
            <w:pPr>
              <w:pStyle w:val="15"/>
              <w:numPr>
                <w:ilvl w:val="1"/>
                <w:numId w:val="11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让团队看到积极变化</w:t>
            </w:r>
          </w:p>
          <w:p w14:paraId="1ECDCEAF">
            <w:pPr>
              <w:pStyle w:val="15"/>
              <w:numPr>
                <w:ilvl w:val="1"/>
                <w:numId w:val="11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团队“负向行为”扼制</w:t>
            </w:r>
          </w:p>
          <w:p w14:paraId="156ED478">
            <w:pPr>
              <w:pStyle w:val="15"/>
              <w:numPr>
                <w:ilvl w:val="1"/>
                <w:numId w:val="11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262626" w:themeColor="text1" w:themeTint="D9"/>
                <w:spacing w:val="15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团队氛围调节的5个时机</w:t>
            </w:r>
          </w:p>
          <w:p w14:paraId="3AB50680">
            <w:pPr>
              <w:pStyle w:val="15"/>
              <w:numPr>
                <w:ilvl w:val="1"/>
                <w:numId w:val="11"/>
              </w:numPr>
              <w:spacing w:line="276" w:lineRule="auto"/>
              <w:ind w:firstLineChars="0"/>
              <w:jc w:val="left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建立内部庆祝文化</w:t>
            </w:r>
          </w:p>
          <w:p w14:paraId="02CD778F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情境案例10：一封意外的离职申请</w:t>
            </w:r>
          </w:p>
          <w:p w14:paraId="1F706019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洞察员工离职释放的信号</w:t>
            </w:r>
          </w:p>
          <w:p w14:paraId="4A3E8ACF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做好离职面谈反馈</w:t>
            </w:r>
          </w:p>
          <w:p w14:paraId="2A7903F7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做好下属的离职管理</w:t>
            </w:r>
          </w:p>
          <w:p w14:paraId="12430533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建立团队排兵布阵</w:t>
            </w:r>
          </w:p>
          <w:p w14:paraId="11AFBB39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规划团队发展，建立人才梯队</w:t>
            </w:r>
          </w:p>
          <w:p w14:paraId="7F99D432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情境案例11：不服管的佛系老员工</w:t>
            </w:r>
          </w:p>
          <w:p w14:paraId="150B0AD3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厘清“佛系”出现的原因</w:t>
            </w:r>
          </w:p>
          <w:p w14:paraId="6B60ACE3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发现和发挥老员工优势</w:t>
            </w:r>
          </w:p>
          <w:p w14:paraId="51570E5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改变佛系现状的关键</w:t>
            </w:r>
          </w:p>
          <w:p w14:paraId="743262C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给予充分尊重</w:t>
            </w:r>
          </w:p>
          <w:p w14:paraId="5424229D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探寻员工职业发展意向</w:t>
            </w:r>
          </w:p>
          <w:p w14:paraId="5D7207F3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  <w:t>情境案例12：晋升后的烦恼</w:t>
            </w:r>
          </w:p>
          <w:p w14:paraId="7AA7E3A5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建立自己的权威</w:t>
            </w:r>
          </w:p>
          <w:p w14:paraId="2C3EA779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寻求真诚沟通反馈</w:t>
            </w:r>
          </w:p>
          <w:p w14:paraId="7AAB8EBE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建立与下属亲和度的10个问题</w:t>
            </w:r>
          </w:p>
          <w:p w14:paraId="228FFB4C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寻找与下属的“轨迹重合度”</w:t>
            </w:r>
          </w:p>
          <w:p w14:paraId="642C7C6B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不同时期能力要求的变化</w:t>
            </w:r>
          </w:p>
          <w:p w14:paraId="530FA705">
            <w:pPr>
              <w:pStyle w:val="15"/>
              <w:numPr>
                <w:ilvl w:val="0"/>
                <w:numId w:val="8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管理者持续自我精进</w:t>
            </w:r>
          </w:p>
        </w:tc>
        <w:tc>
          <w:tcPr>
            <w:tcW w:w="2547" w:type="dxa"/>
          </w:tcPr>
          <w:p w14:paraId="37B30CAC">
            <w:pPr>
              <w:pStyle w:val="15"/>
              <w:numPr>
                <w:ilvl w:val="0"/>
                <w:numId w:val="12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自我练习：分析你的团队成员现状，针对你的团队实际情况，制定员工的管理策略</w:t>
            </w:r>
          </w:p>
          <w:p w14:paraId="353DAA43">
            <w:pPr>
              <w:pStyle w:val="15"/>
              <w:numPr>
                <w:ilvl w:val="0"/>
                <w:numId w:val="13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工具：《团队人才账本》</w:t>
            </w:r>
          </w:p>
          <w:p w14:paraId="1CAE3D51">
            <w:pPr>
              <w:pStyle w:val="15"/>
              <w:numPr>
                <w:ilvl w:val="0"/>
                <w:numId w:val="14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工具：《团队亲和力建立的10个问题》</w:t>
            </w:r>
          </w:p>
          <w:p w14:paraId="1A875644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</w:tr>
      <w:tr w14:paraId="7CAD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</w:tcPr>
          <w:p w14:paraId="7ED13D1E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课程总结回顾，</w:t>
            </w:r>
          </w:p>
          <w:p w14:paraId="3E448989">
            <w:pPr>
              <w:jc w:val="center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制定行动计划</w:t>
            </w:r>
          </w:p>
          <w:p w14:paraId="7E57A16C">
            <w:pP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5686" w:type="dxa"/>
          </w:tcPr>
          <w:p w14:paraId="5282957D">
            <w:pPr>
              <w:pStyle w:val="15"/>
              <w:numPr>
                <w:ilvl w:val="0"/>
                <w:numId w:val="15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觉察：通过本课程中学习，能帮助你成为更好管理者的三件事</w:t>
            </w:r>
          </w:p>
          <w:p w14:paraId="02D8A180">
            <w:pPr>
              <w:pStyle w:val="15"/>
              <w:numPr>
                <w:ilvl w:val="0"/>
                <w:numId w:val="15"/>
              </w:numPr>
              <w:spacing w:line="276" w:lineRule="auto"/>
              <w:ind w:firstLineChars="0"/>
              <w:rPr>
                <w:rFonts w:hint="eastAsia" w:ascii="Microsoft YaHei Regular" w:hAnsi="Microsoft YaHei Regular" w:eastAsia="Microsoft YaHei Regular" w:cs="Microsoft YaHei Regular"/>
                <w:b/>
                <w:bCs/>
                <w:color w:val="4A452A" w:themeColor="background2" w:themeShade="40"/>
                <w:spacing w:val="15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行动：你将如何实现变化</w:t>
            </w:r>
          </w:p>
        </w:tc>
        <w:tc>
          <w:tcPr>
            <w:tcW w:w="2547" w:type="dxa"/>
          </w:tcPr>
          <w:p w14:paraId="4BB86951">
            <w:pPr>
              <w:spacing w:line="276" w:lineRule="auto"/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color w:val="4A452A" w:themeColor="background2" w:themeShade="40"/>
                <w:spacing w:val="15"/>
                <w:kern w:val="0"/>
                <w:sz w:val="21"/>
                <w:szCs w:val="21"/>
              </w:rPr>
              <w:t>工具：《课后行动计划表》</w:t>
            </w:r>
          </w:p>
        </w:tc>
      </w:tr>
    </w:tbl>
    <w:p w14:paraId="5BBE0484">
      <w:pPr>
        <w:spacing w:line="460" w:lineRule="exact"/>
        <w:jc w:val="left"/>
        <w:rPr>
          <w:rFonts w:hint="eastAsia" w:ascii="Microsoft YaHei Regular" w:hAnsi="Microsoft YaHei Regular" w:eastAsia="Microsoft YaHei Regular" w:cs="Microsoft YaHei Regular"/>
          <w:b/>
          <w:bCs/>
          <w:color w:val="4A452A" w:themeColor="background2" w:themeShade="40"/>
          <w:sz w:val="21"/>
          <w:szCs w:val="21"/>
        </w:rPr>
      </w:pPr>
    </w:p>
    <w:p w14:paraId="61630458">
      <w:pPr>
        <w:spacing w:line="460" w:lineRule="exact"/>
        <w:jc w:val="lef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【顾问讲师介绍】</w:t>
      </w:r>
    </w:p>
    <w:p w14:paraId="2EAA9749">
      <w:pPr>
        <w:widowControl/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</w:rPr>
      </w:pPr>
      <w:bookmarkStart w:id="0" w:name="_Hlk83468370"/>
      <w:r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</w:rPr>
        <w:t>元 晓 敏</w:t>
      </w: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/>
          <w:kern w:val="0"/>
          <w:sz w:val="21"/>
          <w:szCs w:val="21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 xml:space="preserve">老 师 </w:t>
      </w:r>
    </w:p>
    <w:p w14:paraId="3688CA3A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bookmarkStart w:id="1" w:name="_GoBack"/>
      <w:bookmarkEnd w:id="1"/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原千亿级上市企业全球总部业务赋能与学习发展总监</w:t>
      </w:r>
    </w:p>
    <w:bookmarkEnd w:id="0"/>
    <w:p w14:paraId="38C2ED96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20多年人才管理与领导力发展经验</w:t>
      </w:r>
    </w:p>
    <w:p w14:paraId="29215727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3家企业大学筹建与运营管理经验</w:t>
      </w:r>
    </w:p>
    <w:p w14:paraId="7F194DD4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“中国绿色能源产教融合发展联盟“智库专家</w:t>
      </w:r>
    </w:p>
    <w:p w14:paraId="08CBB5FB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上海市大学生职业生涯发展导师</w:t>
      </w:r>
    </w:p>
    <w:p w14:paraId="0A110A52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“中国培训经理人大赛”全国辅导导师</w:t>
      </w:r>
    </w:p>
    <w:p w14:paraId="4AC59EBD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KFLA领导力学习体系架构师</w:t>
      </w:r>
    </w:p>
    <w:p w14:paraId="1A67A648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SIAC领导力发展模拟舱®授证讲师</w:t>
      </w:r>
    </w:p>
    <w:p w14:paraId="1562E808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SIAC领导力发展模拟仓®评价中心测评师</w:t>
      </w:r>
    </w:p>
    <w:p w14:paraId="0E6C4683">
      <w:pPr>
        <w:numPr>
          <w:ilvl w:val="0"/>
          <w:numId w:val="16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0"/>
          <w:sz w:val="21"/>
          <w:szCs w:val="21"/>
        </w:rPr>
        <w:t>西安交通大学毕业</w:t>
      </w:r>
    </w:p>
    <w:p w14:paraId="6AD9CDA1">
      <w:pPr>
        <w:spacing w:line="460" w:lineRule="exact"/>
        <w:ind w:left="440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40B2829D">
      <w:pPr>
        <w:spacing w:line="460" w:lineRule="exact"/>
        <w:ind w:left="440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讲师资历 ------------------------------------------</w:t>
      </w:r>
    </w:p>
    <w:p w14:paraId="1B4994E2">
      <w:pPr>
        <w:widowControl/>
        <w:numPr>
          <w:ilvl w:val="0"/>
          <w:numId w:val="17"/>
        </w:numPr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先后任职于500强半导体、汽车、新能源巨头等全球性TOP企业总部，担任学习与发展总监、企业大学运营管理总监、领导力学院院长、企业大学负责人等岗位。</w:t>
      </w:r>
    </w:p>
    <w:p w14:paraId="70E15F64">
      <w:pPr>
        <w:numPr>
          <w:ilvl w:val="0"/>
          <w:numId w:val="17"/>
        </w:numPr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负责多个组织级领导力学习项目设计开发和落地，筹建的企业大学和主导的学习项目曾多次获得“中国最佳学习型组织”、“中国最具成长性企业大学”、“中国优秀企业大学”、“中国学习与发展价值大奖”、“数字化最佳企业实践”、“中国人才发展菁英奖”等多项殊荣。</w:t>
      </w:r>
    </w:p>
    <w:p w14:paraId="11156F80">
      <w:pPr>
        <w:numPr>
          <w:ilvl w:val="0"/>
          <w:numId w:val="17"/>
        </w:numPr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任职3家企业大学期间，带领团队完成企业大学5中心（案例中心、测评中心、行动学习中心、认证中心、运营中心） 的重要筹建和运营管理工作，并获得唯一一个职能部门“全球年度最佳团队”荣誉。</w:t>
      </w:r>
    </w:p>
    <w:p w14:paraId="7E6331D3">
      <w:pPr>
        <w:numPr>
          <w:ilvl w:val="0"/>
          <w:numId w:val="17"/>
        </w:numPr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元老师拥有超过20年甲方丰富的实践工作经验外，还曾担任乙方知名培训机构产品顾问岗位，赋能内部学习顾问和销售团队成长，开发特色培训产品，为客户提供人才培养发展综合性解决方案等。</w:t>
      </w:r>
    </w:p>
    <w:p w14:paraId="3E7B71ED">
      <w:pPr>
        <w:widowControl/>
        <w:numPr>
          <w:ilvl w:val="0"/>
          <w:numId w:val="17"/>
        </w:numPr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由于她的经历和专业，她被聘为“中国培训经理人俱乐部华东总会特聘专家”，并作为2020年和2021年中国好培经“大赛两届全国辅导导师，同时还被聘为“中国绿色能源产教融合发展联盟“智库专家。多家上市公司领导力与人才发展高级咨询顾问，先后成功帮助多家企业搭建战略性领导力发展体系、人才梯队体系、组织经验萃取、案例中心体系搭建、课程开发等项目，多门版权课程开发者及项目导师。</w:t>
      </w:r>
    </w:p>
    <w:p w14:paraId="20CE57C2">
      <w:pPr>
        <w:widowControl/>
        <w:spacing w:before="156" w:beforeLines="50"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4268470" cy="2218690"/>
            <wp:effectExtent l="0" t="0" r="24130" b="17145"/>
            <wp:wrapTight wrapText="bothSides">
              <wp:wrapPolygon>
                <wp:start x="0" y="989"/>
                <wp:lineTo x="0" y="21266"/>
                <wp:lineTo x="13753" y="21266"/>
                <wp:lineTo x="15553" y="20772"/>
                <wp:lineTo x="21208" y="17804"/>
                <wp:lineTo x="21465" y="6677"/>
                <wp:lineTo x="20437" y="6182"/>
                <wp:lineTo x="13753" y="4946"/>
                <wp:lineTo x="14010" y="1236"/>
                <wp:lineTo x="13367" y="989"/>
                <wp:lineTo x="7069" y="989"/>
                <wp:lineTo x="0" y="989"/>
              </wp:wrapPolygon>
            </wp:wrapTight>
            <wp:docPr id="2001571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71775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00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096BF8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2F7FCF4E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55409E61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2B08CE2D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0BDA4D26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50CE5224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163216C8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</w:p>
    <w:p w14:paraId="1AA0B91F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专注领域：</w:t>
      </w:r>
    </w:p>
    <w:p w14:paraId="22EA9229">
      <w:pPr>
        <w:widowControl/>
        <w:numPr>
          <w:ilvl w:val="0"/>
          <w:numId w:val="18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人才战略规划、战略人才盘点与梯队建设、领导力发展、人才开发管理、企业大学运营管理、组织文化设计落地、组织经验萃取与能力开发等领域的诊断、咨询、培训、课程设计、辅导等</w:t>
      </w:r>
    </w:p>
    <w:p w14:paraId="1BF5F5B4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主讲课程</w:t>
      </w:r>
    </w:p>
    <w:p w14:paraId="45DFC6D1">
      <w:pPr>
        <w:widowControl/>
        <w:numPr>
          <w:ilvl w:val="0"/>
          <w:numId w:val="19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版权课：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《百炼成金——3P经验萃取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vertAlign w:val="superscript"/>
        </w:rPr>
        <w:t>©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》、《拍案成课——5C情境案例课程开发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vertAlign w:val="superscript"/>
        </w:rPr>
        <w:t>©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》、《蝶变——管理者情境修炼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vertAlign w:val="superscript"/>
        </w:rPr>
        <w:t>©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》、《匠营——敏捷学习项目设计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vertAlign w:val="superscript"/>
        </w:rPr>
        <w:t>©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》、《排兵布阵——关键岗位人才盘点与人才梯队建设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vertAlign w:val="superscript"/>
        </w:rPr>
        <w:t>©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</w:t>
      </w:r>
    </w:p>
    <w:p w14:paraId="34DB2441">
      <w:pPr>
        <w:widowControl/>
        <w:numPr>
          <w:ilvl w:val="0"/>
          <w:numId w:val="19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品牌课：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《人才战略罗盘——战略型人才规划与人才管理》、《排兵布阵——基于战略的人才盘点实战与梯队建设》、《业务赋能型人才发展项目设计与落地》、《赋能团队——团队管理精进》、《赋能业务——业务管理者的人才盘点与梯队建设》、《关键跨越——管理者角色认知与转变》、《导师解码——团队辅导与赋能》、《批量复制——人才快速培养与复制体系打造》、《师课共创——从经验到萃取的课程开发》、《敏捷场景化案例开发工作坊》、《五维一体——敏捷学习体系搭建》、《IDP能力发展提升与共创》</w:t>
      </w:r>
    </w:p>
    <w:p w14:paraId="560AB3C5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授课风格</w:t>
      </w:r>
    </w:p>
    <w:p w14:paraId="739F6474">
      <w:pPr>
        <w:widowControl/>
        <w:numPr>
          <w:ilvl w:val="0"/>
          <w:numId w:val="20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系统性强：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思维敏锐、具有高效的逻辑分析能力，注重项目过程中的系统性规划和思考，推动实现项目过程中内容建构的体系化，为客户输出成体系的系统性的成果。</w:t>
      </w:r>
    </w:p>
    <w:p w14:paraId="44DDB8D1">
      <w:pPr>
        <w:widowControl/>
        <w:numPr>
          <w:ilvl w:val="0"/>
          <w:numId w:val="20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实践性强：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授课深入浅出，条理清楚，层层剖析，环环相扣，内容富有深度，实战性强。通过与学员互动，分析案例，以最精彩的讲授研讨方式，将课程的基础理论内涵和应用模式外延呈现给学员。</w:t>
      </w:r>
    </w:p>
    <w:p w14:paraId="0907FB60">
      <w:pPr>
        <w:widowControl/>
        <w:numPr>
          <w:ilvl w:val="0"/>
          <w:numId w:val="20"/>
        </w:numPr>
        <w:spacing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落地性强：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注重培训成果落地导向，强调学以致用。并且能将丰富的真实案例和具体方式方法引入项目，让客户在充分认知现实情况的基础上获得更多的资讯与借鉴，并在项目中通过互动、反思、模拟、练习，确保项目成果的落地可行。</w:t>
      </w:r>
    </w:p>
    <w:p w14:paraId="1243565D">
      <w:pPr>
        <w:widowControl/>
        <w:spacing w:line="46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服务的部分企业 ------------------------------------------</w:t>
      </w:r>
    </w:p>
    <w:p w14:paraId="3DC3D739">
      <w:pPr>
        <w:spacing w:line="460" w:lineRule="exact"/>
        <w:jc w:val="left"/>
        <w:rPr>
          <w:rFonts w:hint="eastAsia" w:ascii="Microsoft YaHei Regular" w:hAnsi="Microsoft YaHei Regular" w:eastAsia="Microsoft YaHei Regular" w:cs="Microsoft YaHei Regular"/>
          <w:color w:val="4A452A" w:themeColor="background2" w:themeShade="4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国药控股、京新药业、青峰医药、药明康德、中广核、中国物理工程研究所、上海烟草集团、上海电气、沈阳飞机工业集团、世贸集团、携程集团、国家电网、同程艺龙、中国移动、中国电信、四川通信设计、伊利集团、得意电子、伟世通汽车、中国一汽、上汽大众、中信戴卡股份、厦门钨业股份、浙江国贸集团、苏州交发集团、顾家家居、中国建材集团、林氏木业、四川新升包装、杭州圣奥集团、迦南科技、万丰奥特控股、悸动餐饮、周黑鸭、重庆蒲公英、苏泊尔、阿里巴巴、九阳股份、娃哈哈、上海比升技术、中国银行、台州银行、西部证券、东吴证券、中原银行、中国平安、天合光能、晶科能源、隆基绿能、新天绿能股份、尚德电力、宁德时代、通威股份、正泰电器、老板电器、北路智控、伊赛尔科技、中广电气集团、公牛集团、利欧集团、江南集团、佳通轮胎、中国民航、耀华集团、广西锡山矿业、中国水泥、美年大健康、杭州贝咖实业、中通快运、中电海康、江苏常高新集团等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  <w:t>。</w:t>
      </w:r>
    </w:p>
    <w:p w14:paraId="6262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bidi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966B1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B59C7"/>
    <w:multiLevelType w:val="multilevel"/>
    <w:tmpl w:val="049B59C7"/>
    <w:lvl w:ilvl="0" w:tentative="0">
      <w:start w:val="0"/>
      <w:numFmt w:val="bullet"/>
      <w:lvlText w:val="•"/>
      <w:lvlJc w:val="left"/>
      <w:pPr>
        <w:ind w:left="900" w:hanging="44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3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40"/>
      </w:pPr>
      <w:rPr>
        <w:rFonts w:hint="default" w:ascii="Wingdings" w:hAnsi="Wingdings"/>
      </w:rPr>
    </w:lvl>
  </w:abstractNum>
  <w:abstractNum w:abstractNumId="1">
    <w:nsid w:val="08EC724B"/>
    <w:multiLevelType w:val="multilevel"/>
    <w:tmpl w:val="08EC724B"/>
    <w:lvl w:ilvl="0" w:tentative="0">
      <w:start w:val="1"/>
      <w:numFmt w:val="bullet"/>
      <w:lvlText w:val=""/>
      <w:lvlJc w:val="left"/>
      <w:pPr>
        <w:ind w:left="440" w:hanging="44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1A6E1181"/>
    <w:multiLevelType w:val="multilevel"/>
    <w:tmpl w:val="1A6E1181"/>
    <w:lvl w:ilvl="0" w:tentative="0">
      <w:start w:val="0"/>
      <w:numFmt w:val="bullet"/>
      <w:lvlText w:val="•"/>
      <w:lvlJc w:val="left"/>
      <w:pPr>
        <w:ind w:left="703" w:hanging="42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decimal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2DCE7D32"/>
    <w:multiLevelType w:val="multilevel"/>
    <w:tmpl w:val="2DCE7D32"/>
    <w:lvl w:ilvl="0" w:tentative="0">
      <w:start w:val="0"/>
      <w:numFmt w:val="bullet"/>
      <w:lvlText w:val="•"/>
      <w:lvlJc w:val="left"/>
      <w:pPr>
        <w:ind w:left="860" w:hanging="44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4">
    <w:nsid w:val="2F341B60"/>
    <w:multiLevelType w:val="multilevel"/>
    <w:tmpl w:val="2F341B60"/>
    <w:lvl w:ilvl="0" w:tentative="0">
      <w:start w:val="0"/>
      <w:numFmt w:val="bullet"/>
      <w:lvlText w:val="•"/>
      <w:lvlJc w:val="left"/>
      <w:pPr>
        <w:ind w:left="420" w:hanging="42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0015269"/>
    <w:multiLevelType w:val="multilevel"/>
    <w:tmpl w:val="3001526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08C2C5B"/>
    <w:multiLevelType w:val="multilevel"/>
    <w:tmpl w:val="308C2C5B"/>
    <w:lvl w:ilvl="0" w:tentative="0">
      <w:start w:val="0"/>
      <w:numFmt w:val="bullet"/>
      <w:lvlText w:val="•"/>
      <w:lvlJc w:val="left"/>
      <w:pPr>
        <w:ind w:left="440" w:hanging="44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34333922"/>
    <w:multiLevelType w:val="multilevel"/>
    <w:tmpl w:val="34333922"/>
    <w:lvl w:ilvl="0" w:tentative="0">
      <w:start w:val="0"/>
      <w:numFmt w:val="bullet"/>
      <w:lvlText w:val="•"/>
      <w:lvlJc w:val="left"/>
      <w:pPr>
        <w:ind w:left="420" w:hanging="42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B8F2B87"/>
    <w:multiLevelType w:val="multilevel"/>
    <w:tmpl w:val="3B8F2B87"/>
    <w:lvl w:ilvl="0" w:tentative="0">
      <w:start w:val="0"/>
      <w:numFmt w:val="bullet"/>
      <w:lvlText w:val="•"/>
      <w:lvlJc w:val="left"/>
      <w:pPr>
        <w:ind w:left="440" w:hanging="44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nsid w:val="426E314E"/>
    <w:multiLevelType w:val="multilevel"/>
    <w:tmpl w:val="426E314E"/>
    <w:lvl w:ilvl="0" w:tentative="0">
      <w:start w:val="0"/>
      <w:numFmt w:val="bullet"/>
      <w:lvlText w:val="•"/>
      <w:lvlJc w:val="left"/>
      <w:pPr>
        <w:ind w:left="860" w:hanging="44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10">
    <w:nsid w:val="4D9218F0"/>
    <w:multiLevelType w:val="multilevel"/>
    <w:tmpl w:val="4D9218F0"/>
    <w:lvl w:ilvl="0" w:tentative="0">
      <w:start w:val="1"/>
      <w:numFmt w:val="bullet"/>
      <w:lvlText w:val=""/>
      <w:lvlJc w:val="left"/>
      <w:pPr>
        <w:ind w:left="650" w:hanging="440"/>
      </w:pPr>
      <w:rPr>
        <w:rFonts w:hint="default" w:ascii="Wingdings" w:hAnsi="Wingdings"/>
        <w:color w:val="FF0000"/>
      </w:rPr>
    </w:lvl>
    <w:lvl w:ilvl="1" w:tentative="0">
      <w:start w:val="0"/>
      <w:numFmt w:val="bullet"/>
      <w:lvlText w:val="•"/>
      <w:lvlJc w:val="left"/>
      <w:pPr>
        <w:ind w:left="800" w:hanging="440"/>
      </w:pPr>
      <w:rPr>
        <w:rFonts w:hint="eastAsia" w:ascii="微软雅黑" w:hAnsi="微软雅黑" w:eastAsia="微软雅黑" w:cs="Times New Roman"/>
      </w:rPr>
    </w:lvl>
    <w:lvl w:ilvl="2" w:tentative="0">
      <w:start w:val="1"/>
      <w:numFmt w:val="bullet"/>
      <w:lvlText w:val=""/>
      <w:lvlJc w:val="left"/>
      <w:pPr>
        <w:ind w:left="153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5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3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70" w:hanging="440"/>
      </w:pPr>
      <w:rPr>
        <w:rFonts w:hint="default" w:ascii="Wingdings" w:hAnsi="Wingdings"/>
      </w:rPr>
    </w:lvl>
  </w:abstractNum>
  <w:abstractNum w:abstractNumId="11">
    <w:nsid w:val="55C76B49"/>
    <w:multiLevelType w:val="multilevel"/>
    <w:tmpl w:val="55C76B49"/>
    <w:lvl w:ilvl="0" w:tentative="0">
      <w:start w:val="1"/>
      <w:numFmt w:val="bullet"/>
      <w:lvlText w:val="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0"/>
      <w:numFmt w:val="bullet"/>
      <w:lvlText w:val="•"/>
      <w:lvlJc w:val="left"/>
      <w:pPr>
        <w:ind w:left="590" w:hanging="420"/>
      </w:pPr>
      <w:rPr>
        <w:rFonts w:hint="eastAsia" w:ascii="微软雅黑" w:hAnsi="微软雅黑" w:eastAsia="微软雅黑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AF5C92"/>
    <w:multiLevelType w:val="multilevel"/>
    <w:tmpl w:val="5DAF5C92"/>
    <w:lvl w:ilvl="0" w:tentative="0">
      <w:start w:val="0"/>
      <w:numFmt w:val="bullet"/>
      <w:lvlText w:val="•"/>
      <w:lvlJc w:val="left"/>
      <w:pPr>
        <w:ind w:left="420" w:hanging="42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63D11483"/>
    <w:multiLevelType w:val="multilevel"/>
    <w:tmpl w:val="63D11483"/>
    <w:lvl w:ilvl="0" w:tentative="0">
      <w:start w:val="0"/>
      <w:numFmt w:val="bullet"/>
      <w:lvlText w:val="•"/>
      <w:lvlJc w:val="left"/>
      <w:pPr>
        <w:ind w:left="720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decimal"/>
      <w:lvlText w:val="%2)"/>
      <w:lvlJc w:val="left"/>
      <w:pPr>
        <w:ind w:left="1220" w:hanging="44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7D640B7"/>
    <w:multiLevelType w:val="multilevel"/>
    <w:tmpl w:val="67D640B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0"/>
      <w:numFmt w:val="bullet"/>
      <w:lvlText w:val="•"/>
      <w:lvlJc w:val="left"/>
      <w:pPr>
        <w:ind w:left="1200" w:hanging="360"/>
      </w:pPr>
      <w:rPr>
        <w:rFonts w:hint="eastAsia" w:ascii="微软雅黑" w:hAnsi="微软雅黑" w:eastAsia="微软雅黑" w:cs="Times New Roman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706E0B28"/>
    <w:multiLevelType w:val="multilevel"/>
    <w:tmpl w:val="706E0B28"/>
    <w:lvl w:ilvl="0" w:tentative="0">
      <w:start w:val="1"/>
      <w:numFmt w:val="bullet"/>
      <w:lvlText w:val="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6">
    <w:nsid w:val="79AB79DA"/>
    <w:multiLevelType w:val="multilevel"/>
    <w:tmpl w:val="79AB79DA"/>
    <w:lvl w:ilvl="0" w:tentative="0">
      <w:start w:val="0"/>
      <w:numFmt w:val="bullet"/>
      <w:lvlText w:val="•"/>
      <w:lvlJc w:val="left"/>
      <w:pPr>
        <w:ind w:left="440" w:hanging="44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7">
    <w:nsid w:val="7ABE0F61"/>
    <w:multiLevelType w:val="multilevel"/>
    <w:tmpl w:val="7ABE0F61"/>
    <w:lvl w:ilvl="0" w:tentative="0">
      <w:start w:val="1"/>
      <w:numFmt w:val="bullet"/>
      <w:lvlText w:val=""/>
      <w:lvlJc w:val="left"/>
      <w:pPr>
        <w:ind w:left="440" w:hanging="44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8">
    <w:nsid w:val="7CEF32FE"/>
    <w:multiLevelType w:val="multilevel"/>
    <w:tmpl w:val="7CEF32F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7EF958AD"/>
    <w:multiLevelType w:val="multilevel"/>
    <w:tmpl w:val="7EF958AD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19"/>
  </w:num>
  <w:num w:numId="6">
    <w:abstractNumId w:val="13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17"/>
  </w:num>
  <w:num w:numId="17">
    <w:abstractNumId w:val="14"/>
  </w:num>
  <w:num w:numId="18">
    <w:abstractNumId w:val="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mY5MDFiZDBhNDc4ZmU3Y2Y2YWRkMzM5NjNiOGMifQ=="/>
    <w:docVar w:name="KSO_WPS_MARK_KEY" w:val="eb0b7163-d918-4f98-ba28-3bd9e751c00c"/>
  </w:docVars>
  <w:rsids>
    <w:rsidRoot w:val="00433013"/>
    <w:rsid w:val="00002664"/>
    <w:rsid w:val="00034367"/>
    <w:rsid w:val="000A4945"/>
    <w:rsid w:val="000B4DA3"/>
    <w:rsid w:val="000D00C5"/>
    <w:rsid w:val="00112321"/>
    <w:rsid w:val="0011312D"/>
    <w:rsid w:val="001B09C1"/>
    <w:rsid w:val="001C6358"/>
    <w:rsid w:val="002303CE"/>
    <w:rsid w:val="0029408C"/>
    <w:rsid w:val="002B4E31"/>
    <w:rsid w:val="00301EFB"/>
    <w:rsid w:val="00340D65"/>
    <w:rsid w:val="0037187E"/>
    <w:rsid w:val="00371D0E"/>
    <w:rsid w:val="00373101"/>
    <w:rsid w:val="00383A17"/>
    <w:rsid w:val="00422237"/>
    <w:rsid w:val="00433013"/>
    <w:rsid w:val="00433568"/>
    <w:rsid w:val="004A2653"/>
    <w:rsid w:val="004B1551"/>
    <w:rsid w:val="004F4BB0"/>
    <w:rsid w:val="004F4EF6"/>
    <w:rsid w:val="005317CD"/>
    <w:rsid w:val="0054681F"/>
    <w:rsid w:val="005474F1"/>
    <w:rsid w:val="0063342D"/>
    <w:rsid w:val="00646875"/>
    <w:rsid w:val="00687384"/>
    <w:rsid w:val="00690CCA"/>
    <w:rsid w:val="006E3FF4"/>
    <w:rsid w:val="00706B1C"/>
    <w:rsid w:val="00741065"/>
    <w:rsid w:val="00775AC2"/>
    <w:rsid w:val="0079706F"/>
    <w:rsid w:val="007D52DC"/>
    <w:rsid w:val="008367DC"/>
    <w:rsid w:val="00873383"/>
    <w:rsid w:val="00885E36"/>
    <w:rsid w:val="0091346C"/>
    <w:rsid w:val="00934374"/>
    <w:rsid w:val="009C0A97"/>
    <w:rsid w:val="00A17E24"/>
    <w:rsid w:val="00A828F3"/>
    <w:rsid w:val="00B30800"/>
    <w:rsid w:val="00B32A83"/>
    <w:rsid w:val="00B32C76"/>
    <w:rsid w:val="00BA0A84"/>
    <w:rsid w:val="00BC1622"/>
    <w:rsid w:val="00BC4F11"/>
    <w:rsid w:val="00C6253A"/>
    <w:rsid w:val="00C72741"/>
    <w:rsid w:val="00CD1534"/>
    <w:rsid w:val="00D061F4"/>
    <w:rsid w:val="00D22590"/>
    <w:rsid w:val="00D313CA"/>
    <w:rsid w:val="00D8633A"/>
    <w:rsid w:val="00E402E6"/>
    <w:rsid w:val="00EC0EAB"/>
    <w:rsid w:val="00F41329"/>
    <w:rsid w:val="00F5145B"/>
    <w:rsid w:val="00F61009"/>
    <w:rsid w:val="00FB2128"/>
    <w:rsid w:val="1EBD79A0"/>
    <w:rsid w:val="2DBF0F82"/>
    <w:rsid w:val="3DDF9807"/>
    <w:rsid w:val="430F01DB"/>
    <w:rsid w:val="437D75EB"/>
    <w:rsid w:val="4FFB2F50"/>
    <w:rsid w:val="56F768D4"/>
    <w:rsid w:val="577BDB7E"/>
    <w:rsid w:val="5FBF35D5"/>
    <w:rsid w:val="5FDFB899"/>
    <w:rsid w:val="62CF24B8"/>
    <w:rsid w:val="72FEF718"/>
    <w:rsid w:val="73EFF42F"/>
    <w:rsid w:val="7B6F83F8"/>
    <w:rsid w:val="7E7173E7"/>
    <w:rsid w:val="7EFF9EC4"/>
    <w:rsid w:val="7FD75FD0"/>
    <w:rsid w:val="7FDF1DBD"/>
    <w:rsid w:val="7FF5F6C9"/>
    <w:rsid w:val="7FFF86D1"/>
    <w:rsid w:val="7FFF965B"/>
    <w:rsid w:val="8BD4BC84"/>
    <w:rsid w:val="94FE4FEE"/>
    <w:rsid w:val="9BEDF9A4"/>
    <w:rsid w:val="9EF89844"/>
    <w:rsid w:val="BEFB815F"/>
    <w:rsid w:val="BFFB10C4"/>
    <w:rsid w:val="CFE3BC46"/>
    <w:rsid w:val="D5EF497C"/>
    <w:rsid w:val="EF252E7B"/>
    <w:rsid w:val="F4FE6213"/>
    <w:rsid w:val="F6DB7ACC"/>
    <w:rsid w:val="F8F3A85E"/>
    <w:rsid w:val="FCD46280"/>
    <w:rsid w:val="FD2E151B"/>
    <w:rsid w:val="FDB6A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字符"/>
    <w:link w:val="2"/>
    <w:qFormat/>
    <w:uiPriority w:val="0"/>
    <w:rPr>
      <w:sz w:val="24"/>
    </w:rPr>
  </w:style>
  <w:style w:type="character" w:customStyle="1" w:styleId="13">
    <w:name w:val="正文文本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9p1"/>
    <w:qFormat/>
    <w:uiPriority w:val="0"/>
    <w:rPr>
      <w:sz w:val="18"/>
      <w:szCs w:val="18"/>
    </w:rPr>
  </w:style>
  <w:style w:type="character" w:customStyle="1" w:styleId="17">
    <w:name w:val="17"/>
    <w:basedOn w:val="9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8">
    <w:name w:val="列表段落1"/>
    <w:basedOn w:val="1"/>
    <w:qFormat/>
    <w:uiPriority w:val="0"/>
    <w:pPr>
      <w:spacing w:before="181" w:after="100" w:afterAutospacing="1"/>
      <w:ind w:left="1692" w:hanging="721"/>
    </w:pPr>
    <w:rPr>
      <w:rFonts w:ascii="微软雅黑" w:hAnsi="微软雅黑" w:eastAsia="微软雅黑" w:cs="宋体"/>
    </w:rPr>
  </w:style>
  <w:style w:type="paragraph" w:customStyle="1" w:styleId="19">
    <w:name w:val="List Paragraph1"/>
    <w:basedOn w:val="1"/>
    <w:qFormat/>
    <w:uiPriority w:val="0"/>
    <w:pPr>
      <w:overflowPunct w:val="0"/>
      <w:ind w:firstLine="420" w:firstLineChars="200"/>
    </w:pPr>
    <w:rPr>
      <w:rFonts w:ascii="Calibri" w:hAnsi="Calibri" w:eastAsia="微软雅黑" w:cs="Times New Roman"/>
      <w:szCs w:val="21"/>
    </w:rPr>
  </w:style>
  <w:style w:type="paragraph" w:customStyle="1" w:styleId="20">
    <w:name w:val="Normal"/>
    <w:qFormat/>
    <w:uiPriority w:val="0"/>
    <w:pPr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2034</Words>
  <Characters>2090</Characters>
  <Lines>17</Lines>
  <Paragraphs>5</Paragraphs>
  <TotalTime>3</TotalTime>
  <ScaleCrop>false</ScaleCrop>
  <LinksUpToDate>false</LinksUpToDate>
  <CharactersWithSpaces>2092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2016-01-18T19:36:00Z</dcterms:created>
  <dc:creator>samsung-</dc:creator>
  <cp:lastModifiedBy>Yan</cp:lastModifiedBy>
  <dcterms:modified xsi:type="dcterms:W3CDTF">2025-05-28T08:22:44Z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A5949B2A5C404AFBB79BB66A48586CBD_13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