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7C718">
      <w:pPr>
        <w:spacing w:line="480" w:lineRule="exact"/>
        <w:rPr>
          <w:rFonts w:hint="eastAsia" w:eastAsia="微软雅黑"/>
          <w:b/>
          <w:color w:val="000000"/>
          <w:szCs w:val="21"/>
        </w:rPr>
      </w:pPr>
      <w:bookmarkStart w:id="0" w:name="_GoBack"/>
      <w:bookmarkEnd w:id="0"/>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eastAsia="微软雅黑"/>
          <w:b/>
          <w:color w:val="000000"/>
          <w:szCs w:val="21"/>
        </w:rPr>
        <w:t>20</w:t>
      </w:r>
      <w:r>
        <w:rPr>
          <w:rFonts w:hint="eastAsia" w:eastAsia="微软雅黑"/>
          <w:b/>
          <w:color w:val="000000"/>
          <w:szCs w:val="21"/>
        </w:rPr>
        <w:t>25</w:t>
      </w:r>
      <w:r>
        <w:rPr>
          <w:rFonts w:eastAsia="微软雅黑"/>
          <w:b/>
          <w:color w:val="000000"/>
          <w:szCs w:val="21"/>
        </w:rPr>
        <w:t>年</w:t>
      </w:r>
      <w:r>
        <w:rPr>
          <w:rFonts w:hint="eastAsia" w:eastAsia="微软雅黑"/>
          <w:b/>
          <w:color w:val="000000"/>
          <w:szCs w:val="21"/>
          <w:lang w:val="en-US" w:eastAsia="zh-CN"/>
        </w:rPr>
        <w:t>8</w:t>
      </w:r>
      <w:r>
        <w:rPr>
          <w:rFonts w:eastAsia="微软雅黑"/>
          <w:b/>
          <w:color w:val="000000"/>
          <w:szCs w:val="21"/>
        </w:rPr>
        <w:t>月</w:t>
      </w:r>
      <w:r>
        <w:rPr>
          <w:rFonts w:hint="eastAsia" w:eastAsia="微软雅黑"/>
          <w:b/>
          <w:color w:val="000000"/>
          <w:szCs w:val="21"/>
          <w:lang w:val="en-US" w:eastAsia="zh-CN"/>
        </w:rPr>
        <w:t>27</w:t>
      </w:r>
      <w:r>
        <w:rPr>
          <w:rFonts w:eastAsia="微软雅黑"/>
          <w:b/>
          <w:color w:val="000000"/>
          <w:szCs w:val="21"/>
        </w:rPr>
        <w:t>~</w:t>
      </w:r>
      <w:r>
        <w:rPr>
          <w:rFonts w:hint="eastAsia" w:eastAsia="微软雅黑"/>
          <w:b/>
          <w:color w:val="000000"/>
          <w:szCs w:val="21"/>
          <w:lang w:val="en-US" w:eastAsia="zh-CN"/>
        </w:rPr>
        <w:t>29</w:t>
      </w:r>
      <w:r>
        <w:rPr>
          <w:rFonts w:eastAsia="微软雅黑"/>
          <w:b/>
          <w:color w:val="000000"/>
          <w:szCs w:val="21"/>
        </w:rPr>
        <w:t>日（星期</w:t>
      </w:r>
      <w:r>
        <w:rPr>
          <w:rFonts w:hint="eastAsia" w:eastAsia="微软雅黑"/>
          <w:b/>
          <w:color w:val="000000"/>
          <w:szCs w:val="21"/>
          <w:lang w:val="en-US" w:eastAsia="zh-CN"/>
        </w:rPr>
        <w:t>三</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val="en-US" w:eastAsia="zh-CN"/>
        </w:rPr>
        <w:t>五</w:t>
      </w:r>
      <w:r>
        <w:rPr>
          <w:rFonts w:eastAsia="微软雅黑"/>
          <w:b/>
          <w:color w:val="000000"/>
          <w:szCs w:val="21"/>
        </w:rPr>
        <w:t>）</w:t>
      </w:r>
      <w:r>
        <w:rPr>
          <w:rFonts w:hint="eastAsia" w:eastAsia="微软雅黑"/>
          <w:b/>
          <w:color w:val="000000"/>
          <w:szCs w:val="21"/>
        </w:rPr>
        <w:t>/苏 州</w:t>
      </w:r>
    </w:p>
    <w:p w14:paraId="3524AF53">
      <w:pPr>
        <w:keepNext w:val="0"/>
        <w:keepLines w:val="0"/>
        <w:pageBreakBefore w:val="0"/>
        <w:widowControl w:val="0"/>
        <w:kinsoku/>
        <w:wordWrap/>
        <w:overflowPunct/>
        <w:topLinePunct w:val="0"/>
        <w:autoSpaceDE/>
        <w:autoSpaceDN/>
        <w:bidi w:val="0"/>
        <w:adjustRightInd/>
        <w:snapToGrid/>
        <w:spacing w:line="480" w:lineRule="exact"/>
        <w:ind w:left="1720" w:leftChars="819"/>
        <w:textAlignment w:val="auto"/>
        <w:rPr>
          <w:rFonts w:hint="eastAsia" w:eastAsia="微软雅黑"/>
          <w:b/>
          <w:color w:val="000000"/>
          <w:szCs w:val="21"/>
          <w:lang w:val="en-US" w:eastAsia="zh-CN"/>
        </w:rPr>
      </w:pPr>
      <w:r>
        <w:rPr>
          <w:rFonts w:eastAsia="微软雅黑"/>
          <w:b/>
          <w:color w:val="000000"/>
          <w:szCs w:val="21"/>
        </w:rPr>
        <w:t>20</w:t>
      </w:r>
      <w:r>
        <w:rPr>
          <w:rFonts w:hint="eastAsia" w:eastAsia="微软雅黑"/>
          <w:b/>
          <w:color w:val="000000"/>
          <w:szCs w:val="21"/>
        </w:rPr>
        <w:t>25</w:t>
      </w:r>
      <w:r>
        <w:rPr>
          <w:rFonts w:eastAsia="微软雅黑"/>
          <w:b/>
          <w:color w:val="000000"/>
          <w:szCs w:val="21"/>
        </w:rPr>
        <w:t>年</w:t>
      </w:r>
      <w:r>
        <w:rPr>
          <w:rFonts w:hint="eastAsia" w:eastAsia="微软雅黑"/>
          <w:b/>
          <w:color w:val="000000"/>
          <w:szCs w:val="21"/>
          <w:lang w:val="en-US" w:eastAsia="zh-CN"/>
        </w:rPr>
        <w:t>12</w:t>
      </w:r>
      <w:r>
        <w:rPr>
          <w:rFonts w:eastAsia="微软雅黑"/>
          <w:b/>
          <w:color w:val="000000"/>
          <w:szCs w:val="21"/>
        </w:rPr>
        <w:t>月</w:t>
      </w:r>
      <w:r>
        <w:rPr>
          <w:rFonts w:hint="eastAsia" w:eastAsia="微软雅黑"/>
          <w:b/>
          <w:color w:val="000000"/>
          <w:szCs w:val="21"/>
        </w:rPr>
        <w:t>1</w:t>
      </w:r>
      <w:r>
        <w:rPr>
          <w:rFonts w:hint="eastAsia" w:eastAsia="微软雅黑"/>
          <w:b/>
          <w:color w:val="000000"/>
          <w:szCs w:val="21"/>
          <w:lang w:val="en-US" w:eastAsia="zh-CN"/>
        </w:rPr>
        <w:t>7</w:t>
      </w:r>
      <w:r>
        <w:rPr>
          <w:rFonts w:eastAsia="微软雅黑"/>
          <w:b/>
          <w:color w:val="000000"/>
          <w:szCs w:val="21"/>
        </w:rPr>
        <w:t>~</w:t>
      </w:r>
      <w:r>
        <w:rPr>
          <w:rFonts w:hint="eastAsia" w:eastAsia="微软雅黑"/>
          <w:b/>
          <w:color w:val="000000"/>
          <w:szCs w:val="21"/>
        </w:rPr>
        <w:t>1</w:t>
      </w:r>
      <w:r>
        <w:rPr>
          <w:rFonts w:hint="eastAsia" w:eastAsia="微软雅黑"/>
          <w:b/>
          <w:color w:val="000000"/>
          <w:szCs w:val="21"/>
          <w:lang w:val="en-US" w:eastAsia="zh-CN"/>
        </w:rPr>
        <w:t>9</w:t>
      </w:r>
      <w:r>
        <w:rPr>
          <w:rFonts w:eastAsia="微软雅黑"/>
          <w:b/>
          <w:color w:val="000000"/>
          <w:szCs w:val="21"/>
        </w:rPr>
        <w:t>日（星期</w:t>
      </w:r>
      <w:r>
        <w:rPr>
          <w:rFonts w:hint="eastAsia" w:eastAsia="微软雅黑"/>
          <w:b/>
          <w:color w:val="000000"/>
          <w:szCs w:val="21"/>
          <w:lang w:val="en-US" w:eastAsia="zh-CN"/>
        </w:rPr>
        <w:t>三</w:t>
      </w:r>
      <w:r>
        <w:rPr>
          <w:rFonts w:hint="eastAsia" w:eastAsia="微软雅黑"/>
          <w:b/>
          <w:color w:val="000000"/>
          <w:szCs w:val="21"/>
        </w:rPr>
        <w:t xml:space="preserve">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lang w:val="en-US" w:eastAsia="zh-CN"/>
        </w:rPr>
        <w:t>五</w:t>
      </w:r>
      <w:r>
        <w:rPr>
          <w:rFonts w:eastAsia="微软雅黑"/>
          <w:b/>
          <w:color w:val="000000"/>
          <w:szCs w:val="21"/>
        </w:rPr>
        <w:t>）</w:t>
      </w:r>
      <w:r>
        <w:rPr>
          <w:rFonts w:hint="eastAsia" w:eastAsia="微软雅黑"/>
          <w:b/>
          <w:color w:val="000000"/>
          <w:szCs w:val="21"/>
        </w:rPr>
        <w:t>/</w:t>
      </w:r>
      <w:r>
        <w:rPr>
          <w:rFonts w:hint="eastAsia" w:eastAsia="微软雅黑"/>
          <w:b/>
          <w:color w:val="000000"/>
          <w:szCs w:val="21"/>
          <w:lang w:val="en-US" w:eastAsia="zh-CN"/>
        </w:rPr>
        <w:t>上 海</w:t>
      </w:r>
    </w:p>
    <w:p w14:paraId="4778B831">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rPr>
        <w:t>45</w:t>
      </w:r>
      <w:r>
        <w:rPr>
          <w:rFonts w:eastAsia="微软雅黑"/>
          <w:b/>
          <w:szCs w:val="21"/>
        </w:rPr>
        <w:t>00/人</w:t>
      </w:r>
    </w:p>
    <w:p w14:paraId="5E52F7CC">
      <w:pPr>
        <w:numPr>
          <w:ilvl w:val="0"/>
          <w:numId w:val="1"/>
        </w:numPr>
        <w:spacing w:line="480" w:lineRule="exact"/>
        <w:rPr>
          <w:rFonts w:eastAsia="微软雅黑"/>
        </w:rPr>
      </w:pPr>
      <w:r>
        <w:rPr>
          <w:rFonts w:eastAsia="微软雅黑"/>
        </w:rPr>
        <w:t>含授课费、证书费、资料费、午餐费、茶点费、会务费、税费</w:t>
      </w:r>
    </w:p>
    <w:p w14:paraId="7B1923A2">
      <w:pPr>
        <w:numPr>
          <w:ilvl w:val="0"/>
          <w:numId w:val="1"/>
        </w:numPr>
        <w:spacing w:line="480" w:lineRule="exact"/>
        <w:rPr>
          <w:rFonts w:eastAsia="微软雅黑"/>
        </w:rPr>
      </w:pPr>
      <w:r>
        <w:rPr>
          <w:rFonts w:hint="eastAsia" w:eastAsia="微软雅黑"/>
        </w:rPr>
        <w:t>不包含学员往返培训场地的交通费用、住宿费用、早餐及晚餐</w:t>
      </w:r>
    </w:p>
    <w:p w14:paraId="713AD932">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14:paraId="085F3629">
      <w:pPr>
        <w:spacing w:line="480" w:lineRule="exact"/>
        <w:ind w:firstLine="420" w:firstLineChars="200"/>
        <w:rPr>
          <w:rFonts w:eastAsia="微软雅黑"/>
          <w:szCs w:val="21"/>
        </w:rPr>
      </w:pPr>
      <w:r>
        <w:rPr>
          <w:rFonts w:eastAsia="微软雅黑"/>
          <w:szCs w:val="21"/>
        </w:rPr>
        <w:t>企业不消灭事故，事故就会消灭企业，这是昆山中荣、天津瑞海爆炸事故告诉我们的构建环境亲和性、零事故企业是构建和谐社会的必然要求。也是是维护社会公平和正义的体现。目前，一些企业在高额利润的驱动下，无视环境污染、从业人员的生命和健康，无视国家法律和政府监管，这实质上是蔑视和践踏社会公平正义。企业频繁出现环境与职业健康安全事故，不仅损害了人类的生存环境和员工的生命安全，加大企业的生产成本，同时降低了企业在社会上和客户中的形象，严重影响和滞后了企业的健康、稳定和持续发展。</w:t>
      </w:r>
    </w:p>
    <w:p w14:paraId="2DCE4865">
      <w:pPr>
        <w:spacing w:line="480" w:lineRule="exact"/>
        <w:ind w:firstLine="420" w:firstLineChars="200"/>
        <w:rPr>
          <w:rFonts w:eastAsia="微软雅黑"/>
          <w:szCs w:val="21"/>
        </w:rPr>
      </w:pPr>
      <w:r>
        <w:rPr>
          <w:rFonts w:eastAsia="微软雅黑"/>
          <w:szCs w:val="21"/>
        </w:rPr>
        <w:t>为了改善这种状况，提升企业社会形象，此课程旨在将环境与职业健康安全管理意识、管理方法、环境与职业健康安全技术要求和适用的管理工具融入到企业的内部环境与职业健康安全管理中，做到事前预防、事后应急的环境与职业健康安全管理模式。</w:t>
      </w:r>
    </w:p>
    <w:p w14:paraId="0A6D153B">
      <w:pPr>
        <w:spacing w:line="480" w:lineRule="exact"/>
        <w:ind w:firstLine="420" w:firstLineChars="200"/>
        <w:rPr>
          <w:rFonts w:eastAsia="微软雅黑"/>
          <w:szCs w:val="21"/>
        </w:rPr>
      </w:pPr>
      <w:r>
        <w:rPr>
          <w:rFonts w:eastAsia="微软雅黑"/>
          <w:szCs w:val="21"/>
        </w:rPr>
        <w:t xml:space="preserve">企业成于安全，败于事故！任何一起事故对企业都是一种不可挽回的损失，可能对于企业来说事故发生只有万分之一或更小的概率，但对家庭、个人却造成无法弥补的伤痛，就是100％。安全管理人员是企业的“保护神”。 </w:t>
      </w:r>
    </w:p>
    <w:p w14:paraId="0F6DA8BD">
      <w:pPr>
        <w:spacing w:line="480" w:lineRule="exact"/>
        <w:ind w:firstLine="420" w:firstLineChars="200"/>
        <w:rPr>
          <w:rFonts w:eastAsia="微软雅黑"/>
          <w:color w:val="000000"/>
          <w:szCs w:val="21"/>
        </w:rPr>
      </w:pPr>
      <w:r>
        <w:rPr>
          <w:rFonts w:eastAsia="微软雅黑"/>
          <w:szCs w:val="21"/>
        </w:rPr>
        <w:t>摆在管理层面前的问题是：如何有效控制与环境与职业健康安全相关的风险？如何持续改进环境与职业健康安全相关的业绩？从而保证企业的健康发展。</w:t>
      </w:r>
    </w:p>
    <w:p w14:paraId="54CD1153">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14:paraId="428A7FB4">
      <w:pPr>
        <w:spacing w:line="480" w:lineRule="exact"/>
        <w:ind w:firstLine="420" w:firstLineChars="200"/>
        <w:rPr>
          <w:rFonts w:eastAsia="微软雅黑"/>
          <w:szCs w:val="21"/>
        </w:rPr>
      </w:pPr>
      <w:r>
        <w:rPr>
          <w:rFonts w:eastAsia="微软雅黑"/>
          <w:szCs w:val="21"/>
        </w:rPr>
        <w:t>帮助企业各级管理人员掌握环境与职业健康安全管理的一般方法，了解事故致因理论和安全管理体系的构建过程，以及必要的与环境与职业健康安全有关的法律知识；</w:t>
      </w:r>
    </w:p>
    <w:p w14:paraId="5C877361">
      <w:pPr>
        <w:numPr>
          <w:ilvl w:val="0"/>
          <w:numId w:val="2"/>
        </w:numPr>
        <w:spacing w:line="480" w:lineRule="exact"/>
        <w:rPr>
          <w:rFonts w:eastAsia="微软雅黑"/>
          <w:szCs w:val="21"/>
        </w:rPr>
      </w:pPr>
      <w:r>
        <w:rPr>
          <w:rFonts w:eastAsia="微软雅黑"/>
          <w:szCs w:val="21"/>
        </w:rPr>
        <w:t>掌握“环境、危险、有害因素”辨识的方法，从根本上转变对环境与职业健康安全管理的认识。</w:t>
      </w:r>
    </w:p>
    <w:p w14:paraId="737C016A">
      <w:pPr>
        <w:numPr>
          <w:ilvl w:val="0"/>
          <w:numId w:val="2"/>
        </w:numPr>
        <w:spacing w:line="480" w:lineRule="exact"/>
        <w:rPr>
          <w:rFonts w:eastAsia="微软雅黑"/>
          <w:szCs w:val="21"/>
        </w:rPr>
      </w:pPr>
      <w:r>
        <w:rPr>
          <w:rFonts w:eastAsia="微软雅黑"/>
          <w:szCs w:val="21"/>
        </w:rPr>
        <w:t>掌握危害与风险的辨识、评估及控制.结合世界级工厂HES管理方法；</w:t>
      </w:r>
    </w:p>
    <w:p w14:paraId="3D04ACA1">
      <w:pPr>
        <w:numPr>
          <w:ilvl w:val="0"/>
          <w:numId w:val="2"/>
        </w:numPr>
        <w:spacing w:line="480" w:lineRule="exact"/>
        <w:rPr>
          <w:rFonts w:eastAsia="微软雅黑"/>
          <w:szCs w:val="21"/>
        </w:rPr>
      </w:pPr>
      <w:r>
        <w:rPr>
          <w:rFonts w:eastAsia="微软雅黑"/>
          <w:szCs w:val="21"/>
        </w:rPr>
        <w:t>能够运用适用的环境与职业健康安全技术标准，完善企业的环境与职业健康安全本质安全</w:t>
      </w:r>
    </w:p>
    <w:p w14:paraId="66511CC8">
      <w:pPr>
        <w:numPr>
          <w:ilvl w:val="0"/>
          <w:numId w:val="2"/>
        </w:numPr>
        <w:spacing w:line="480" w:lineRule="exact"/>
        <w:rPr>
          <w:rFonts w:eastAsia="微软雅黑"/>
          <w:szCs w:val="21"/>
        </w:rPr>
      </w:pPr>
      <w:r>
        <w:rPr>
          <w:rFonts w:eastAsia="微软雅黑"/>
          <w:szCs w:val="21"/>
        </w:rPr>
        <w:t>掌握内部环境与职业健康安全检查与环境与职业健康安全隐患审查方法，结合实际工厂案例，对现场及作业设计提出改善思路，从根本上预防伤害；</w:t>
      </w:r>
    </w:p>
    <w:p w14:paraId="2686678D">
      <w:pPr>
        <w:numPr>
          <w:ilvl w:val="0"/>
          <w:numId w:val="2"/>
        </w:numPr>
        <w:spacing w:line="480" w:lineRule="exact"/>
        <w:rPr>
          <w:rFonts w:eastAsia="微软雅黑"/>
          <w:szCs w:val="21"/>
        </w:rPr>
      </w:pPr>
      <w:r>
        <w:rPr>
          <w:rFonts w:eastAsia="微软雅黑"/>
          <w:szCs w:val="21"/>
        </w:rPr>
        <w:t>掌握工厂的环境与职业健康安全管理体系和自我保障方法与技巧，确保企业环境与职业健康安全合规性。</w:t>
      </w:r>
    </w:p>
    <w:p w14:paraId="425D79AF">
      <w:pPr>
        <w:spacing w:line="480" w:lineRule="exact"/>
        <w:rPr>
          <w:rFonts w:eastAsia="微软雅黑"/>
          <w:b/>
          <w:color w:val="C00000"/>
          <w:sz w:val="24"/>
          <w14:shadow w14:blurRad="50800" w14:dist="38100" w14:dir="2700000" w14:sx="100000" w14:sy="100000" w14:kx="0" w14:ky="0" w14:algn="tl">
            <w14:srgbClr w14:val="000000">
              <w14:alpha w14:val="60000"/>
            </w14:srgbClr>
          </w14:shadow>
        </w:rPr>
      </w:pPr>
      <w:r>
        <w:rPr>
          <w:rFonts w:eastAsia="微软雅黑"/>
          <w:b/>
          <w:color w:val="C00000"/>
          <w:sz w:val="24"/>
          <w14:shadow w14:blurRad="50800" w14:dist="38100" w14:dir="2700000" w14:sx="100000" w14:sy="100000" w14:kx="0" w14:ky="0" w14:algn="tl">
            <w14:srgbClr w14:val="000000">
              <w14:alpha w14:val="60000"/>
            </w14:srgbClr>
          </w14:shadow>
        </w:rPr>
        <w:t>课程特色：</w:t>
      </w:r>
    </w:p>
    <w:p w14:paraId="0C417DFC">
      <w:pPr>
        <w:numPr>
          <w:ilvl w:val="0"/>
          <w:numId w:val="2"/>
        </w:numPr>
        <w:spacing w:line="480" w:lineRule="exact"/>
        <w:rPr>
          <w:rFonts w:eastAsia="微软雅黑"/>
          <w:szCs w:val="21"/>
        </w:rPr>
      </w:pPr>
      <w:r>
        <w:rPr>
          <w:rFonts w:eastAsia="微软雅黑"/>
          <w:szCs w:val="21"/>
        </w:rPr>
        <w:t>40%的案例+40%的研讨+20%的理论知识</w:t>
      </w:r>
    </w:p>
    <w:p w14:paraId="49ED3139">
      <w:pPr>
        <w:numPr>
          <w:ilvl w:val="0"/>
          <w:numId w:val="2"/>
        </w:numPr>
        <w:spacing w:line="480" w:lineRule="exact"/>
        <w:rPr>
          <w:rFonts w:eastAsia="微软雅黑"/>
          <w:b/>
          <w:szCs w:val="21"/>
        </w:rPr>
      </w:pPr>
      <w:r>
        <w:rPr>
          <w:rFonts w:eastAsia="微软雅黑"/>
          <w:szCs w:val="21"/>
        </w:rPr>
        <w:t>4S------实用、实际、实例、实操</w:t>
      </w:r>
    </w:p>
    <w:p w14:paraId="58AD58AD">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69335602">
      <w:pPr>
        <w:spacing w:line="480" w:lineRule="exact"/>
        <w:ind w:firstLine="420" w:firstLineChars="200"/>
        <w:rPr>
          <w:rFonts w:eastAsia="微软雅黑"/>
        </w:rPr>
      </w:pPr>
      <w:r>
        <w:rPr>
          <w:rFonts w:hint="eastAsia" w:eastAsia="微软雅黑"/>
        </w:rPr>
        <w:t>EHS体系工程师、体系推进小组、内审员、管理者代表、部门主管等</w:t>
      </w:r>
    </w:p>
    <w:p w14:paraId="566B498F">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56CDEB8C">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7A01A28D">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104968AE">
      <w:pPr>
        <w:spacing w:line="480" w:lineRule="exact"/>
        <w:rPr>
          <w:rFonts w:eastAsia="微软雅黑"/>
          <w:b/>
          <w:bCs/>
          <w:szCs w:val="21"/>
        </w:rPr>
      </w:pPr>
      <w:r>
        <w:rPr>
          <w:rFonts w:eastAsia="微软雅黑"/>
          <w:b/>
          <w:bCs/>
          <w:szCs w:val="21"/>
        </w:rPr>
        <w:t>开篇：这样的环境您愿意在此生活吗？</w:t>
      </w:r>
    </w:p>
    <w:p w14:paraId="09F1FA2F">
      <w:pPr>
        <w:spacing w:line="480" w:lineRule="exact"/>
        <w:rPr>
          <w:rFonts w:eastAsia="微软雅黑"/>
          <w:b/>
          <w:bCs/>
          <w:szCs w:val="21"/>
        </w:rPr>
      </w:pPr>
      <w:r>
        <w:rPr>
          <w:rFonts w:eastAsia="微软雅黑"/>
          <w:b/>
          <w:bCs/>
          <w:szCs w:val="21"/>
        </w:rPr>
        <w:t>第一讲：环境保护篇</w:t>
      </w:r>
    </w:p>
    <w:p w14:paraId="75EF79F7">
      <w:pPr>
        <w:pStyle w:val="30"/>
        <w:numPr>
          <w:ilvl w:val="0"/>
          <w:numId w:val="3"/>
        </w:numPr>
        <w:spacing w:line="480" w:lineRule="exact"/>
        <w:ind w:left="0" w:firstLine="0" w:firstLineChars="0"/>
        <w:rPr>
          <w:rFonts w:eastAsia="微软雅黑"/>
          <w:szCs w:val="21"/>
        </w:rPr>
      </w:pPr>
      <w:r>
        <w:rPr>
          <w:rFonts w:eastAsia="微软雅黑"/>
          <w:szCs w:val="21"/>
        </w:rPr>
        <w:t>通过呼吸排出二氧化碳是属于破坏环境吗？</w:t>
      </w:r>
    </w:p>
    <w:p w14:paraId="37E4CF61">
      <w:pPr>
        <w:pStyle w:val="30"/>
        <w:numPr>
          <w:ilvl w:val="0"/>
          <w:numId w:val="3"/>
        </w:numPr>
        <w:spacing w:line="480" w:lineRule="exact"/>
        <w:ind w:left="0" w:firstLine="0" w:firstLineChars="0"/>
        <w:rPr>
          <w:rFonts w:eastAsia="微软雅黑"/>
          <w:szCs w:val="21"/>
        </w:rPr>
      </w:pPr>
      <w:r>
        <w:rPr>
          <w:rFonts w:eastAsia="微软雅黑"/>
          <w:szCs w:val="21"/>
        </w:rPr>
        <w:t>环境管理的历史演变以及最新的环境保护理念</w:t>
      </w:r>
    </w:p>
    <w:p w14:paraId="7A84C8A8">
      <w:pPr>
        <w:pStyle w:val="30"/>
        <w:numPr>
          <w:ilvl w:val="0"/>
          <w:numId w:val="3"/>
        </w:numPr>
        <w:spacing w:line="480" w:lineRule="exact"/>
        <w:ind w:left="0" w:firstLine="0" w:firstLineChars="0"/>
        <w:rPr>
          <w:rFonts w:eastAsia="微软雅黑"/>
          <w:szCs w:val="21"/>
        </w:rPr>
      </w:pPr>
      <w:r>
        <w:rPr>
          <w:rFonts w:eastAsia="微软雅黑"/>
          <w:szCs w:val="21"/>
        </w:rPr>
        <w:t>当前企业主要面临的环保风险与应急对策</w:t>
      </w:r>
    </w:p>
    <w:p w14:paraId="5BA8B98E">
      <w:pPr>
        <w:pStyle w:val="30"/>
        <w:numPr>
          <w:ilvl w:val="0"/>
          <w:numId w:val="3"/>
        </w:numPr>
        <w:spacing w:line="480" w:lineRule="exact"/>
        <w:ind w:left="0" w:firstLine="0" w:firstLineChars="0"/>
        <w:rPr>
          <w:rFonts w:eastAsia="微软雅黑"/>
          <w:szCs w:val="21"/>
        </w:rPr>
      </w:pPr>
      <w:r>
        <w:rPr>
          <w:rFonts w:eastAsia="微软雅黑"/>
          <w:szCs w:val="21"/>
        </w:rPr>
        <w:t>环境与职业健康安全核心专员的八项修炼</w:t>
      </w:r>
    </w:p>
    <w:p w14:paraId="6107981D">
      <w:pPr>
        <w:pStyle w:val="30"/>
        <w:numPr>
          <w:ilvl w:val="0"/>
          <w:numId w:val="3"/>
        </w:numPr>
        <w:spacing w:line="480" w:lineRule="exact"/>
        <w:ind w:left="0" w:firstLine="0" w:firstLineChars="0"/>
        <w:rPr>
          <w:rFonts w:eastAsia="微软雅黑"/>
          <w:szCs w:val="21"/>
        </w:rPr>
      </w:pPr>
      <w:r>
        <w:rPr>
          <w:rFonts w:eastAsia="微软雅黑"/>
          <w:szCs w:val="21"/>
        </w:rPr>
        <w:t>环境保护制度的建立与落实</w:t>
      </w:r>
    </w:p>
    <w:p w14:paraId="12E98D91">
      <w:pPr>
        <w:pStyle w:val="30"/>
        <w:numPr>
          <w:ilvl w:val="0"/>
          <w:numId w:val="3"/>
        </w:numPr>
        <w:spacing w:line="480" w:lineRule="exact"/>
        <w:ind w:left="0" w:firstLine="0" w:firstLineChars="0"/>
        <w:rPr>
          <w:rFonts w:eastAsia="微软雅黑"/>
          <w:szCs w:val="21"/>
        </w:rPr>
      </w:pPr>
      <w:r>
        <w:rPr>
          <w:rFonts w:eastAsia="微软雅黑"/>
          <w:szCs w:val="21"/>
        </w:rPr>
        <w:t>新、改、扩建项目环境与职业健康安全管理的五大“三同时”</w:t>
      </w:r>
    </w:p>
    <w:p w14:paraId="6C1DB2F1">
      <w:pPr>
        <w:pStyle w:val="30"/>
        <w:numPr>
          <w:ilvl w:val="0"/>
          <w:numId w:val="3"/>
        </w:numPr>
        <w:spacing w:line="480" w:lineRule="exact"/>
        <w:ind w:left="0" w:firstLine="0" w:firstLineChars="0"/>
        <w:rPr>
          <w:rFonts w:eastAsia="微软雅黑"/>
          <w:szCs w:val="21"/>
        </w:rPr>
      </w:pPr>
      <w:r>
        <w:rPr>
          <w:rFonts w:eastAsia="微软雅黑"/>
          <w:szCs w:val="21"/>
        </w:rPr>
        <w:t>环境与职业健康安全风险可行性研究报告的编制</w:t>
      </w:r>
    </w:p>
    <w:p w14:paraId="5D9AA406">
      <w:pPr>
        <w:pStyle w:val="30"/>
        <w:numPr>
          <w:ilvl w:val="0"/>
          <w:numId w:val="3"/>
        </w:numPr>
        <w:spacing w:line="480" w:lineRule="exact"/>
        <w:ind w:left="0" w:firstLine="0" w:firstLineChars="0"/>
        <w:rPr>
          <w:rFonts w:eastAsia="微软雅黑"/>
          <w:szCs w:val="21"/>
        </w:rPr>
      </w:pPr>
      <w:r>
        <w:rPr>
          <w:rFonts w:eastAsia="微软雅黑"/>
          <w:szCs w:val="21"/>
        </w:rPr>
        <w:t>申报、评价、审批、验收流程</w:t>
      </w:r>
    </w:p>
    <w:p w14:paraId="698D3085">
      <w:pPr>
        <w:pStyle w:val="30"/>
        <w:numPr>
          <w:ilvl w:val="0"/>
          <w:numId w:val="3"/>
        </w:numPr>
        <w:spacing w:line="480" w:lineRule="exact"/>
        <w:ind w:left="0" w:firstLine="0" w:firstLineChars="0"/>
        <w:rPr>
          <w:rFonts w:eastAsia="微软雅黑"/>
          <w:szCs w:val="21"/>
        </w:rPr>
      </w:pPr>
      <w:r>
        <w:rPr>
          <w:rFonts w:eastAsia="微软雅黑"/>
          <w:szCs w:val="21"/>
        </w:rPr>
        <w:t>许可证管理</w:t>
      </w:r>
    </w:p>
    <w:p w14:paraId="07513F0D">
      <w:pPr>
        <w:pStyle w:val="30"/>
        <w:numPr>
          <w:ilvl w:val="0"/>
          <w:numId w:val="3"/>
        </w:numPr>
        <w:spacing w:line="480" w:lineRule="exact"/>
        <w:ind w:left="0" w:firstLine="0" w:firstLineChars="0"/>
        <w:rPr>
          <w:rFonts w:eastAsia="微软雅黑"/>
          <w:szCs w:val="21"/>
        </w:rPr>
      </w:pPr>
      <w:r>
        <w:rPr>
          <w:rFonts w:eastAsia="微软雅黑"/>
          <w:szCs w:val="21"/>
        </w:rPr>
        <w:t>水、气、声的环保管理</w:t>
      </w:r>
    </w:p>
    <w:p w14:paraId="094057FF">
      <w:pPr>
        <w:pStyle w:val="30"/>
        <w:numPr>
          <w:ilvl w:val="0"/>
          <w:numId w:val="3"/>
        </w:numPr>
        <w:spacing w:line="480" w:lineRule="exact"/>
        <w:ind w:left="0" w:firstLine="0" w:firstLineChars="0"/>
        <w:rPr>
          <w:rFonts w:eastAsia="微软雅黑"/>
          <w:szCs w:val="21"/>
        </w:rPr>
      </w:pPr>
      <w:r>
        <w:rPr>
          <w:rFonts w:eastAsia="微软雅黑"/>
          <w:szCs w:val="21"/>
        </w:rPr>
        <w:t>危险废弃物分类、标识、储存、处置及申报管理</w:t>
      </w:r>
    </w:p>
    <w:p w14:paraId="2AE3DD6E">
      <w:pPr>
        <w:pStyle w:val="30"/>
        <w:numPr>
          <w:ilvl w:val="0"/>
          <w:numId w:val="3"/>
        </w:numPr>
        <w:spacing w:line="480" w:lineRule="exact"/>
        <w:ind w:left="0" w:firstLine="0" w:firstLineChars="0"/>
        <w:rPr>
          <w:rFonts w:eastAsia="微软雅黑"/>
          <w:szCs w:val="21"/>
        </w:rPr>
      </w:pPr>
      <w:r>
        <w:rPr>
          <w:rFonts w:eastAsia="微软雅黑"/>
          <w:szCs w:val="21"/>
        </w:rPr>
        <w:t>环境事故应急救援预案</w:t>
      </w:r>
    </w:p>
    <w:p w14:paraId="0A6F2F4E">
      <w:pPr>
        <w:spacing w:line="480" w:lineRule="exact"/>
        <w:rPr>
          <w:rFonts w:eastAsia="微软雅黑"/>
          <w:b/>
          <w:szCs w:val="21"/>
          <w:u w:val="single"/>
        </w:rPr>
      </w:pPr>
      <w:r>
        <w:rPr>
          <w:rStyle w:val="19"/>
          <w:rFonts w:eastAsia="微软雅黑"/>
          <w:szCs w:val="21"/>
          <w:u w:val="single"/>
        </w:rPr>
        <w:t>结束语：还我蓝天白云，还我青山绿水</w:t>
      </w:r>
    </w:p>
    <w:p w14:paraId="5A4C56AB">
      <w:pPr>
        <w:pStyle w:val="30"/>
        <w:numPr>
          <w:ilvl w:val="0"/>
          <w:numId w:val="4"/>
        </w:numPr>
        <w:spacing w:line="480" w:lineRule="exact"/>
        <w:ind w:firstLineChars="0"/>
        <w:rPr>
          <w:rFonts w:eastAsia="微软雅黑"/>
          <w:b/>
          <w:szCs w:val="21"/>
          <w:u w:val="single"/>
        </w:rPr>
      </w:pPr>
      <w:r>
        <w:rPr>
          <w:rFonts w:eastAsia="微软雅黑"/>
          <w:b/>
          <w:szCs w:val="21"/>
          <w:u w:val="single"/>
        </w:rPr>
        <w:t>课程总结和收益：理解环境保护的内容，掌握环保申报和内部环境管理的方法；</w:t>
      </w:r>
    </w:p>
    <w:p w14:paraId="780DEDA3">
      <w:pPr>
        <w:pStyle w:val="30"/>
        <w:numPr>
          <w:ilvl w:val="0"/>
          <w:numId w:val="4"/>
        </w:numPr>
        <w:spacing w:line="480" w:lineRule="exact"/>
        <w:ind w:firstLineChars="0"/>
        <w:rPr>
          <w:rFonts w:eastAsia="微软雅黑"/>
          <w:b/>
          <w:szCs w:val="21"/>
          <w:u w:val="single"/>
        </w:rPr>
      </w:pPr>
      <w:r>
        <w:rPr>
          <w:rFonts w:eastAsia="微软雅黑"/>
          <w:b/>
          <w:szCs w:val="21"/>
          <w:u w:val="single"/>
        </w:rPr>
        <w:t>课程输出：环境保护管理制度；新、改、扩建项目管理；危险废物台账</w:t>
      </w:r>
    </w:p>
    <w:p w14:paraId="7CE869F5">
      <w:pPr>
        <w:spacing w:line="480" w:lineRule="exact"/>
        <w:rPr>
          <w:rFonts w:eastAsia="微软雅黑"/>
          <w:b/>
          <w:bCs/>
          <w:szCs w:val="21"/>
        </w:rPr>
      </w:pPr>
    </w:p>
    <w:p w14:paraId="1F077190">
      <w:pPr>
        <w:spacing w:line="480" w:lineRule="exact"/>
        <w:rPr>
          <w:rFonts w:eastAsia="微软雅黑"/>
          <w:b/>
          <w:bCs/>
          <w:szCs w:val="21"/>
        </w:rPr>
      </w:pPr>
      <w:r>
        <w:rPr>
          <w:rFonts w:eastAsia="微软雅黑"/>
          <w:b/>
          <w:bCs/>
          <w:szCs w:val="21"/>
        </w:rPr>
        <w:t>第二讲：安全意识篇</w:t>
      </w:r>
    </w:p>
    <w:p w14:paraId="13F9030B">
      <w:pPr>
        <w:spacing w:line="480" w:lineRule="exact"/>
        <w:rPr>
          <w:rFonts w:eastAsia="微软雅黑"/>
          <w:b/>
          <w:szCs w:val="21"/>
        </w:rPr>
      </w:pPr>
      <w:r>
        <w:rPr>
          <w:rFonts w:eastAsia="微软雅黑"/>
          <w:b/>
          <w:szCs w:val="21"/>
        </w:rPr>
        <w:t>开篇：血淋淋的事实告诉我们什么？</w:t>
      </w:r>
    </w:p>
    <w:p w14:paraId="196C4E01">
      <w:pPr>
        <w:pStyle w:val="30"/>
        <w:numPr>
          <w:ilvl w:val="0"/>
          <w:numId w:val="5"/>
        </w:numPr>
        <w:spacing w:line="480" w:lineRule="exact"/>
        <w:ind w:hangingChars="200"/>
        <w:rPr>
          <w:rFonts w:eastAsia="微软雅黑"/>
          <w:szCs w:val="21"/>
        </w:rPr>
      </w:pPr>
      <w:r>
        <w:rPr>
          <w:rFonts w:eastAsia="微软雅黑"/>
          <w:szCs w:val="21"/>
        </w:rPr>
        <w:t>人生的五种欲望</w:t>
      </w:r>
    </w:p>
    <w:p w14:paraId="0AD76A7A">
      <w:pPr>
        <w:pStyle w:val="30"/>
        <w:numPr>
          <w:ilvl w:val="0"/>
          <w:numId w:val="5"/>
        </w:numPr>
        <w:spacing w:line="480" w:lineRule="exact"/>
        <w:ind w:hangingChars="200"/>
        <w:rPr>
          <w:rFonts w:eastAsia="微软雅黑"/>
          <w:szCs w:val="21"/>
        </w:rPr>
      </w:pPr>
      <w:r>
        <w:rPr>
          <w:rFonts w:eastAsia="微软雅黑"/>
          <w:szCs w:val="21"/>
        </w:rPr>
        <w:t>当前企业安全生产局势恶化成因分析即安全管理模式探讨</w:t>
      </w:r>
    </w:p>
    <w:p w14:paraId="42B3DFF1">
      <w:pPr>
        <w:pStyle w:val="30"/>
        <w:numPr>
          <w:ilvl w:val="0"/>
          <w:numId w:val="5"/>
        </w:numPr>
        <w:spacing w:line="480" w:lineRule="exact"/>
        <w:ind w:hangingChars="200"/>
        <w:rPr>
          <w:rFonts w:eastAsia="微软雅黑"/>
          <w:szCs w:val="21"/>
        </w:rPr>
      </w:pPr>
      <w:r>
        <w:rPr>
          <w:rFonts w:eastAsia="微软雅黑"/>
          <w:szCs w:val="21"/>
        </w:rPr>
        <w:t>企业安全管理通病分析</w:t>
      </w:r>
    </w:p>
    <w:p w14:paraId="6EC68CCB">
      <w:pPr>
        <w:pStyle w:val="30"/>
        <w:numPr>
          <w:ilvl w:val="0"/>
          <w:numId w:val="5"/>
        </w:numPr>
        <w:spacing w:line="480" w:lineRule="exact"/>
        <w:ind w:hangingChars="200"/>
        <w:rPr>
          <w:rFonts w:eastAsia="微软雅黑"/>
          <w:szCs w:val="21"/>
        </w:rPr>
      </w:pPr>
      <w:r>
        <w:rPr>
          <w:rFonts w:eastAsia="微软雅黑"/>
          <w:szCs w:val="21"/>
        </w:rPr>
        <w:t>企业提升全员安全意识的四个法则</w:t>
      </w:r>
    </w:p>
    <w:p w14:paraId="6980B653">
      <w:pPr>
        <w:pStyle w:val="30"/>
        <w:numPr>
          <w:ilvl w:val="0"/>
          <w:numId w:val="5"/>
        </w:numPr>
        <w:spacing w:line="480" w:lineRule="exact"/>
        <w:ind w:hangingChars="200"/>
        <w:rPr>
          <w:rFonts w:eastAsia="微软雅黑"/>
          <w:szCs w:val="21"/>
        </w:rPr>
      </w:pPr>
      <w:r>
        <w:rPr>
          <w:rFonts w:eastAsia="微软雅黑"/>
          <w:szCs w:val="21"/>
        </w:rPr>
        <w:t>杜绝“三违”，成就安全</w:t>
      </w:r>
    </w:p>
    <w:p w14:paraId="3484BC3F">
      <w:pPr>
        <w:pStyle w:val="30"/>
        <w:numPr>
          <w:ilvl w:val="0"/>
          <w:numId w:val="5"/>
        </w:numPr>
        <w:spacing w:line="480" w:lineRule="exact"/>
        <w:ind w:hangingChars="200"/>
        <w:rPr>
          <w:rFonts w:eastAsia="微软雅黑"/>
          <w:szCs w:val="21"/>
        </w:rPr>
      </w:pPr>
      <w:r>
        <w:rPr>
          <w:rFonts w:eastAsia="微软雅黑"/>
          <w:szCs w:val="21"/>
        </w:rPr>
        <w:t>现场安全管理之“四不伤害”原则</w:t>
      </w:r>
    </w:p>
    <w:p w14:paraId="4E0C54AB">
      <w:pPr>
        <w:pStyle w:val="30"/>
        <w:numPr>
          <w:ilvl w:val="0"/>
          <w:numId w:val="6"/>
        </w:numPr>
        <w:spacing w:line="480" w:lineRule="exact"/>
        <w:ind w:firstLineChars="0"/>
        <w:rPr>
          <w:rFonts w:eastAsia="微软雅黑"/>
          <w:szCs w:val="21"/>
        </w:rPr>
      </w:pPr>
      <w:r>
        <w:rPr>
          <w:rFonts w:eastAsia="微软雅黑"/>
          <w:szCs w:val="21"/>
        </w:rPr>
        <w:t>视频：安全演讲之《I chose to look the other way》</w:t>
      </w:r>
    </w:p>
    <w:p w14:paraId="3D9BAE4A">
      <w:pPr>
        <w:pStyle w:val="30"/>
        <w:numPr>
          <w:ilvl w:val="0"/>
          <w:numId w:val="6"/>
        </w:numPr>
        <w:spacing w:line="480" w:lineRule="exact"/>
        <w:ind w:firstLineChars="0"/>
        <w:rPr>
          <w:rFonts w:eastAsia="微软雅黑"/>
          <w:szCs w:val="21"/>
        </w:rPr>
      </w:pPr>
      <w:r>
        <w:rPr>
          <w:rFonts w:eastAsia="微软雅黑"/>
          <w:szCs w:val="21"/>
        </w:rPr>
        <w:t>隐患=事故，轨迹交叉之不是不报时候未到</w:t>
      </w:r>
    </w:p>
    <w:p w14:paraId="1CE4581C">
      <w:pPr>
        <w:pStyle w:val="30"/>
        <w:numPr>
          <w:ilvl w:val="0"/>
          <w:numId w:val="6"/>
        </w:numPr>
        <w:spacing w:line="480" w:lineRule="exact"/>
        <w:ind w:firstLineChars="0"/>
        <w:rPr>
          <w:rFonts w:eastAsia="微软雅黑"/>
          <w:szCs w:val="21"/>
        </w:rPr>
      </w:pPr>
      <w:r>
        <w:rPr>
          <w:rFonts w:eastAsia="微软雅黑"/>
          <w:szCs w:val="21"/>
        </w:rPr>
        <w:t>发动对安全隐患辨识的全员战争</w:t>
      </w:r>
    </w:p>
    <w:p w14:paraId="378908B7">
      <w:pPr>
        <w:spacing w:line="480" w:lineRule="exact"/>
        <w:rPr>
          <w:rFonts w:eastAsia="微软雅黑"/>
          <w:b/>
          <w:szCs w:val="21"/>
          <w:u w:val="single"/>
        </w:rPr>
      </w:pPr>
      <w:r>
        <w:rPr>
          <w:rFonts w:eastAsia="微软雅黑"/>
          <w:b/>
          <w:szCs w:val="21"/>
          <w:u w:val="single"/>
        </w:rPr>
        <w:t>结束语：生于忧患，死于安乐</w:t>
      </w:r>
    </w:p>
    <w:p w14:paraId="6D9025AE">
      <w:pPr>
        <w:pStyle w:val="30"/>
        <w:numPr>
          <w:ilvl w:val="0"/>
          <w:numId w:val="7"/>
        </w:numPr>
        <w:spacing w:line="480" w:lineRule="exact"/>
        <w:ind w:firstLineChars="0"/>
        <w:rPr>
          <w:rFonts w:eastAsia="微软雅黑"/>
          <w:b/>
          <w:szCs w:val="21"/>
          <w:u w:val="single"/>
        </w:rPr>
      </w:pPr>
      <w:r>
        <w:rPr>
          <w:rFonts w:eastAsia="微软雅黑"/>
          <w:b/>
          <w:szCs w:val="21"/>
          <w:u w:val="single"/>
        </w:rPr>
        <w:t>第一讲课程总结及收益：通过翔实的案例分享，从情感上改变员工的安全意识，使之从“要我安全”转变为“我要安全”的理念，着力培养员工的安全意愿；</w:t>
      </w:r>
    </w:p>
    <w:p w14:paraId="0160A72C">
      <w:pPr>
        <w:pStyle w:val="30"/>
        <w:numPr>
          <w:ilvl w:val="0"/>
          <w:numId w:val="7"/>
        </w:numPr>
        <w:spacing w:line="480" w:lineRule="exact"/>
        <w:ind w:firstLineChars="0"/>
        <w:rPr>
          <w:rFonts w:eastAsia="微软雅黑"/>
          <w:b/>
          <w:szCs w:val="21"/>
        </w:rPr>
      </w:pPr>
      <w:r>
        <w:rPr>
          <w:rFonts w:eastAsia="微软雅黑"/>
          <w:b/>
          <w:szCs w:val="21"/>
          <w:u w:val="single"/>
        </w:rPr>
        <w:t>课程输出：安全事故案例的收集与整理、未遂事件（Near Miss）不安全行为 状况报告卡。</w:t>
      </w:r>
    </w:p>
    <w:p w14:paraId="7E69F005">
      <w:pPr>
        <w:spacing w:line="480" w:lineRule="exact"/>
        <w:rPr>
          <w:rFonts w:eastAsia="微软雅黑"/>
          <w:b/>
          <w:bCs/>
          <w:szCs w:val="21"/>
        </w:rPr>
      </w:pPr>
    </w:p>
    <w:p w14:paraId="3E3CC353">
      <w:pPr>
        <w:spacing w:line="480" w:lineRule="exact"/>
        <w:rPr>
          <w:rFonts w:eastAsia="微软雅黑"/>
          <w:b/>
          <w:bCs/>
          <w:szCs w:val="21"/>
        </w:rPr>
      </w:pPr>
      <w:r>
        <w:rPr>
          <w:rFonts w:eastAsia="微软雅黑"/>
          <w:b/>
          <w:bCs/>
          <w:szCs w:val="21"/>
        </w:rPr>
        <w:t>第三讲：预防为主篇</w:t>
      </w:r>
    </w:p>
    <w:p w14:paraId="0967FEDF">
      <w:pPr>
        <w:spacing w:line="480" w:lineRule="exact"/>
        <w:rPr>
          <w:rFonts w:eastAsia="微软雅黑"/>
          <w:b/>
          <w:szCs w:val="21"/>
        </w:rPr>
      </w:pPr>
      <w:r>
        <w:rPr>
          <w:rFonts w:eastAsia="微软雅黑"/>
          <w:b/>
          <w:szCs w:val="21"/>
        </w:rPr>
        <w:t>开篇：小心是安全的前提，但很多时候，知识比小心更重要，如果你不具备知识，再小心也不知道危险所在</w:t>
      </w:r>
    </w:p>
    <w:p w14:paraId="52D42235">
      <w:pPr>
        <w:pStyle w:val="30"/>
        <w:numPr>
          <w:ilvl w:val="0"/>
          <w:numId w:val="8"/>
        </w:numPr>
        <w:spacing w:line="480" w:lineRule="exact"/>
        <w:ind w:hangingChars="200"/>
        <w:rPr>
          <w:rFonts w:eastAsia="微软雅黑"/>
          <w:szCs w:val="21"/>
        </w:rPr>
      </w:pPr>
      <w:r>
        <w:rPr>
          <w:rFonts w:eastAsia="微软雅黑"/>
          <w:szCs w:val="21"/>
        </w:rPr>
        <w:t>工厂安全十大理念</w:t>
      </w:r>
    </w:p>
    <w:p w14:paraId="3CBB4D01">
      <w:pPr>
        <w:pStyle w:val="30"/>
        <w:numPr>
          <w:ilvl w:val="0"/>
          <w:numId w:val="8"/>
        </w:numPr>
        <w:spacing w:line="480" w:lineRule="exact"/>
        <w:ind w:hangingChars="200"/>
        <w:rPr>
          <w:rFonts w:eastAsia="微软雅黑"/>
          <w:szCs w:val="21"/>
        </w:rPr>
      </w:pPr>
      <w:r>
        <w:rPr>
          <w:rFonts w:eastAsia="微软雅黑"/>
          <w:szCs w:val="21"/>
        </w:rPr>
        <w:t>厂区安全“五严禁”和“五必须”</w:t>
      </w:r>
    </w:p>
    <w:p w14:paraId="28F888A6">
      <w:pPr>
        <w:pStyle w:val="30"/>
        <w:numPr>
          <w:ilvl w:val="0"/>
          <w:numId w:val="8"/>
        </w:numPr>
        <w:spacing w:line="480" w:lineRule="exact"/>
        <w:ind w:hangingChars="200"/>
        <w:rPr>
          <w:rFonts w:eastAsia="微软雅黑"/>
          <w:szCs w:val="21"/>
        </w:rPr>
      </w:pPr>
      <w:r>
        <w:rPr>
          <w:rFonts w:eastAsia="微软雅黑"/>
          <w:szCs w:val="21"/>
        </w:rPr>
        <w:t>本质安全原理与方法</w:t>
      </w:r>
    </w:p>
    <w:p w14:paraId="090D76DA">
      <w:pPr>
        <w:pStyle w:val="30"/>
        <w:numPr>
          <w:ilvl w:val="0"/>
          <w:numId w:val="8"/>
        </w:numPr>
        <w:spacing w:line="480" w:lineRule="exact"/>
        <w:ind w:hangingChars="200"/>
        <w:rPr>
          <w:rFonts w:eastAsia="微软雅黑"/>
          <w:szCs w:val="21"/>
        </w:rPr>
      </w:pPr>
      <w:r>
        <w:rPr>
          <w:rFonts w:eastAsia="微软雅黑"/>
          <w:szCs w:val="21"/>
        </w:rPr>
        <w:t>彻底辨识安全隐患之“五步法”</w:t>
      </w:r>
    </w:p>
    <w:p w14:paraId="278A6F1F">
      <w:pPr>
        <w:pStyle w:val="30"/>
        <w:numPr>
          <w:ilvl w:val="0"/>
          <w:numId w:val="8"/>
        </w:numPr>
        <w:spacing w:line="480" w:lineRule="exact"/>
        <w:ind w:hangingChars="200"/>
        <w:rPr>
          <w:rFonts w:eastAsia="微软雅黑"/>
          <w:szCs w:val="21"/>
        </w:rPr>
      </w:pPr>
      <w:r>
        <w:rPr>
          <w:rFonts w:eastAsia="微软雅黑"/>
          <w:szCs w:val="21"/>
        </w:rPr>
        <w:t>安全风险的评估与控制策划</w:t>
      </w:r>
    </w:p>
    <w:p w14:paraId="6AA5FCB2">
      <w:pPr>
        <w:pStyle w:val="30"/>
        <w:numPr>
          <w:ilvl w:val="0"/>
          <w:numId w:val="8"/>
        </w:numPr>
        <w:spacing w:line="480" w:lineRule="exact"/>
        <w:ind w:hangingChars="200"/>
        <w:rPr>
          <w:rFonts w:eastAsia="微软雅黑"/>
          <w:szCs w:val="21"/>
        </w:rPr>
      </w:pPr>
      <w:r>
        <w:rPr>
          <w:rFonts w:eastAsia="微软雅黑"/>
          <w:szCs w:val="21"/>
        </w:rPr>
        <w:t>现场安全管理的六项基本原则：环境与职业健康安全技术标准的引用、对象鉴定、源头管理、过程控制、事后应急、持续改进</w:t>
      </w:r>
    </w:p>
    <w:p w14:paraId="29272D32">
      <w:pPr>
        <w:pStyle w:val="30"/>
        <w:numPr>
          <w:ilvl w:val="0"/>
          <w:numId w:val="6"/>
        </w:numPr>
        <w:spacing w:line="480" w:lineRule="exact"/>
        <w:ind w:firstLineChars="0"/>
        <w:rPr>
          <w:rFonts w:eastAsia="微软雅黑"/>
          <w:szCs w:val="21"/>
        </w:rPr>
      </w:pPr>
      <w:r>
        <w:rPr>
          <w:rFonts w:eastAsia="微软雅黑"/>
          <w:szCs w:val="21"/>
        </w:rPr>
        <w:t>消防安全</w:t>
      </w:r>
    </w:p>
    <w:p w14:paraId="250A8062">
      <w:pPr>
        <w:pStyle w:val="30"/>
        <w:numPr>
          <w:ilvl w:val="0"/>
          <w:numId w:val="6"/>
        </w:numPr>
        <w:spacing w:line="480" w:lineRule="exact"/>
        <w:ind w:firstLineChars="0"/>
        <w:rPr>
          <w:rFonts w:eastAsia="微软雅黑"/>
          <w:szCs w:val="21"/>
        </w:rPr>
      </w:pPr>
      <w:r>
        <w:rPr>
          <w:rFonts w:eastAsia="微软雅黑"/>
          <w:szCs w:val="21"/>
        </w:rPr>
        <w:t>危险品安全</w:t>
      </w:r>
    </w:p>
    <w:p w14:paraId="5510AF33">
      <w:pPr>
        <w:pStyle w:val="30"/>
        <w:numPr>
          <w:ilvl w:val="0"/>
          <w:numId w:val="6"/>
        </w:numPr>
        <w:spacing w:line="480" w:lineRule="exact"/>
        <w:ind w:firstLineChars="0"/>
        <w:rPr>
          <w:rFonts w:eastAsia="微软雅黑"/>
          <w:szCs w:val="21"/>
        </w:rPr>
      </w:pPr>
      <w:r>
        <w:rPr>
          <w:rFonts w:eastAsia="微软雅黑"/>
          <w:szCs w:val="21"/>
        </w:rPr>
        <w:t>机电安全</w:t>
      </w:r>
    </w:p>
    <w:p w14:paraId="31801DCA">
      <w:pPr>
        <w:pStyle w:val="30"/>
        <w:numPr>
          <w:ilvl w:val="0"/>
          <w:numId w:val="6"/>
        </w:numPr>
        <w:spacing w:line="480" w:lineRule="exact"/>
        <w:ind w:firstLineChars="0"/>
        <w:rPr>
          <w:rFonts w:eastAsia="微软雅黑"/>
          <w:szCs w:val="21"/>
        </w:rPr>
      </w:pPr>
      <w:r>
        <w:rPr>
          <w:rFonts w:eastAsia="微软雅黑"/>
          <w:szCs w:val="21"/>
        </w:rPr>
        <w:t>九大危险作业</w:t>
      </w:r>
    </w:p>
    <w:p w14:paraId="1B654BFE">
      <w:pPr>
        <w:pStyle w:val="30"/>
        <w:numPr>
          <w:ilvl w:val="0"/>
          <w:numId w:val="6"/>
        </w:numPr>
        <w:spacing w:line="480" w:lineRule="exact"/>
        <w:ind w:firstLineChars="0"/>
        <w:rPr>
          <w:rFonts w:eastAsia="微软雅黑"/>
          <w:szCs w:val="21"/>
        </w:rPr>
      </w:pPr>
      <w:r>
        <w:rPr>
          <w:rFonts w:eastAsia="微软雅黑"/>
          <w:szCs w:val="21"/>
        </w:rPr>
        <w:t>特种设备安全</w:t>
      </w:r>
    </w:p>
    <w:p w14:paraId="4ECF30B4">
      <w:pPr>
        <w:pStyle w:val="30"/>
        <w:numPr>
          <w:ilvl w:val="0"/>
          <w:numId w:val="6"/>
        </w:numPr>
        <w:spacing w:line="480" w:lineRule="exact"/>
        <w:ind w:firstLineChars="0"/>
        <w:rPr>
          <w:rFonts w:eastAsia="微软雅黑"/>
          <w:szCs w:val="21"/>
        </w:rPr>
      </w:pPr>
      <w:r>
        <w:rPr>
          <w:rFonts w:eastAsia="微软雅黑"/>
          <w:szCs w:val="21"/>
        </w:rPr>
        <w:t>承包方安全</w:t>
      </w:r>
    </w:p>
    <w:p w14:paraId="28327D5F">
      <w:pPr>
        <w:pStyle w:val="30"/>
        <w:numPr>
          <w:ilvl w:val="0"/>
          <w:numId w:val="8"/>
        </w:numPr>
        <w:spacing w:line="480" w:lineRule="exact"/>
        <w:ind w:hangingChars="200"/>
        <w:rPr>
          <w:rFonts w:eastAsia="微软雅黑"/>
          <w:szCs w:val="21"/>
        </w:rPr>
      </w:pPr>
      <w:r>
        <w:rPr>
          <w:rFonts w:eastAsia="微软雅黑"/>
          <w:szCs w:val="21"/>
        </w:rPr>
        <w:t>个人PPE管理</w:t>
      </w:r>
    </w:p>
    <w:p w14:paraId="76F9D278">
      <w:pPr>
        <w:pStyle w:val="30"/>
        <w:numPr>
          <w:ilvl w:val="0"/>
          <w:numId w:val="6"/>
        </w:numPr>
        <w:spacing w:line="480" w:lineRule="exact"/>
        <w:ind w:firstLineChars="0"/>
        <w:rPr>
          <w:rFonts w:eastAsia="微软雅黑"/>
          <w:szCs w:val="21"/>
        </w:rPr>
      </w:pPr>
      <w:r>
        <w:rPr>
          <w:rFonts w:eastAsia="微软雅黑"/>
          <w:szCs w:val="21"/>
        </w:rPr>
        <w:t>安全标识</w:t>
      </w:r>
    </w:p>
    <w:p w14:paraId="364ED7C7">
      <w:pPr>
        <w:pStyle w:val="30"/>
        <w:numPr>
          <w:ilvl w:val="0"/>
          <w:numId w:val="6"/>
        </w:numPr>
        <w:spacing w:line="480" w:lineRule="exact"/>
        <w:ind w:firstLineChars="0"/>
        <w:rPr>
          <w:rFonts w:eastAsia="微软雅黑"/>
          <w:szCs w:val="21"/>
        </w:rPr>
      </w:pPr>
      <w:r>
        <w:rPr>
          <w:rFonts w:eastAsia="微软雅黑"/>
          <w:szCs w:val="21"/>
        </w:rPr>
        <w:t>现场环境风险管理</w:t>
      </w:r>
    </w:p>
    <w:p w14:paraId="2B455329">
      <w:pPr>
        <w:pStyle w:val="30"/>
        <w:numPr>
          <w:ilvl w:val="0"/>
          <w:numId w:val="8"/>
        </w:numPr>
        <w:spacing w:line="480" w:lineRule="exact"/>
        <w:ind w:hangingChars="200"/>
        <w:rPr>
          <w:rFonts w:eastAsia="微软雅黑"/>
          <w:szCs w:val="21"/>
        </w:rPr>
      </w:pPr>
      <w:r>
        <w:rPr>
          <w:rFonts w:eastAsia="微软雅黑"/>
          <w:szCs w:val="21"/>
        </w:rPr>
        <w:t>MOC变更管理</w:t>
      </w:r>
    </w:p>
    <w:p w14:paraId="121DA7EC">
      <w:pPr>
        <w:pStyle w:val="30"/>
        <w:numPr>
          <w:ilvl w:val="0"/>
          <w:numId w:val="6"/>
        </w:numPr>
        <w:spacing w:line="480" w:lineRule="exact"/>
        <w:ind w:firstLineChars="0"/>
        <w:rPr>
          <w:rFonts w:eastAsia="微软雅黑"/>
          <w:szCs w:val="21"/>
        </w:rPr>
      </w:pPr>
      <w:r>
        <w:rPr>
          <w:rFonts w:eastAsia="微软雅黑"/>
          <w:szCs w:val="21"/>
        </w:rPr>
        <w:t>案例分析</w:t>
      </w:r>
    </w:p>
    <w:p w14:paraId="00900D77">
      <w:pPr>
        <w:spacing w:line="480" w:lineRule="exact"/>
        <w:rPr>
          <w:rFonts w:eastAsia="微软雅黑"/>
          <w:b/>
          <w:szCs w:val="21"/>
          <w:u w:val="single"/>
        </w:rPr>
      </w:pPr>
      <w:r>
        <w:rPr>
          <w:rFonts w:eastAsia="微软雅黑"/>
          <w:b/>
          <w:szCs w:val="21"/>
          <w:u w:val="single"/>
        </w:rPr>
        <w:t>结束语：零灾害工厂=严格完善的安全标准×严格完善的执行力</w:t>
      </w:r>
    </w:p>
    <w:p w14:paraId="5B822D56">
      <w:pPr>
        <w:pStyle w:val="30"/>
        <w:numPr>
          <w:ilvl w:val="0"/>
          <w:numId w:val="9"/>
        </w:numPr>
        <w:spacing w:line="480" w:lineRule="exact"/>
        <w:ind w:firstLineChars="0"/>
        <w:rPr>
          <w:rFonts w:eastAsia="微软雅黑"/>
          <w:b/>
          <w:szCs w:val="21"/>
          <w:u w:val="single"/>
        </w:rPr>
      </w:pPr>
      <w:r>
        <w:rPr>
          <w:rFonts w:eastAsia="微软雅黑"/>
          <w:b/>
          <w:szCs w:val="21"/>
          <w:u w:val="single"/>
        </w:rPr>
        <w:t>课程总结和收益：学会如何编制企业安全标准，掌握现场安全隐患的辨识方法，拟定消除隐患的措施，从而从根源上杜绝灾害发生；</w:t>
      </w:r>
    </w:p>
    <w:p w14:paraId="1FAB3B5C">
      <w:pPr>
        <w:pStyle w:val="30"/>
        <w:numPr>
          <w:ilvl w:val="0"/>
          <w:numId w:val="9"/>
        </w:numPr>
        <w:spacing w:line="480" w:lineRule="exact"/>
        <w:ind w:firstLineChars="0"/>
        <w:rPr>
          <w:rFonts w:eastAsia="微软雅黑"/>
          <w:b/>
          <w:szCs w:val="21"/>
          <w:u w:val="single"/>
        </w:rPr>
      </w:pPr>
      <w:r>
        <w:rPr>
          <w:rFonts w:eastAsia="微软雅黑"/>
          <w:b/>
          <w:szCs w:val="21"/>
          <w:u w:val="single"/>
        </w:rPr>
        <w:t>课程输出：我们的安全标准。</w:t>
      </w:r>
    </w:p>
    <w:p w14:paraId="5DA77296">
      <w:pPr>
        <w:spacing w:line="480" w:lineRule="exact"/>
        <w:rPr>
          <w:rFonts w:eastAsia="微软雅黑"/>
          <w:b/>
          <w:bCs/>
          <w:szCs w:val="21"/>
        </w:rPr>
      </w:pPr>
    </w:p>
    <w:p w14:paraId="2881C59E">
      <w:pPr>
        <w:spacing w:line="480" w:lineRule="exact"/>
        <w:rPr>
          <w:rFonts w:eastAsia="微软雅黑"/>
          <w:b/>
          <w:bCs/>
          <w:szCs w:val="21"/>
        </w:rPr>
      </w:pPr>
      <w:r>
        <w:rPr>
          <w:rFonts w:eastAsia="微软雅黑"/>
          <w:b/>
          <w:bCs/>
          <w:szCs w:val="21"/>
        </w:rPr>
        <w:t>第四讲：综合治理篇</w:t>
      </w:r>
    </w:p>
    <w:p w14:paraId="71279497">
      <w:pPr>
        <w:spacing w:line="480" w:lineRule="exact"/>
        <w:rPr>
          <w:rFonts w:eastAsia="微软雅黑"/>
          <w:b/>
          <w:szCs w:val="21"/>
        </w:rPr>
      </w:pPr>
      <w:r>
        <w:rPr>
          <w:rFonts w:eastAsia="微软雅黑"/>
          <w:b/>
          <w:szCs w:val="21"/>
        </w:rPr>
        <w:t>开篇：工作场所本身永远没有真正的安全，工作场所里人的行为决定了是否会有伤害发生，而管理者决定人的行为</w:t>
      </w:r>
    </w:p>
    <w:p w14:paraId="51D1F724">
      <w:pPr>
        <w:pStyle w:val="30"/>
        <w:numPr>
          <w:ilvl w:val="0"/>
          <w:numId w:val="10"/>
        </w:numPr>
        <w:spacing w:line="480" w:lineRule="exact"/>
        <w:ind w:hangingChars="200"/>
        <w:rPr>
          <w:rFonts w:eastAsia="微软雅黑"/>
          <w:szCs w:val="21"/>
        </w:rPr>
      </w:pPr>
      <w:r>
        <w:rPr>
          <w:rFonts w:eastAsia="微软雅黑"/>
          <w:szCs w:val="21"/>
        </w:rPr>
        <w:t>现代安全管理特性探讨</w:t>
      </w:r>
    </w:p>
    <w:p w14:paraId="5E8850AD">
      <w:pPr>
        <w:pStyle w:val="30"/>
        <w:numPr>
          <w:ilvl w:val="0"/>
          <w:numId w:val="10"/>
        </w:numPr>
        <w:spacing w:line="480" w:lineRule="exact"/>
        <w:ind w:hangingChars="200"/>
        <w:rPr>
          <w:rFonts w:eastAsia="微软雅黑"/>
          <w:szCs w:val="21"/>
        </w:rPr>
      </w:pPr>
      <w:r>
        <w:rPr>
          <w:rFonts w:eastAsia="微软雅黑"/>
          <w:szCs w:val="21"/>
        </w:rPr>
        <w:t>安全“三同时”</w:t>
      </w:r>
    </w:p>
    <w:p w14:paraId="720A31A5">
      <w:pPr>
        <w:pStyle w:val="30"/>
        <w:numPr>
          <w:ilvl w:val="0"/>
          <w:numId w:val="10"/>
        </w:numPr>
        <w:spacing w:line="480" w:lineRule="exact"/>
        <w:ind w:hangingChars="200"/>
        <w:rPr>
          <w:rFonts w:eastAsia="微软雅黑"/>
          <w:szCs w:val="21"/>
        </w:rPr>
      </w:pPr>
      <w:r>
        <w:rPr>
          <w:rFonts w:eastAsia="微软雅黑"/>
          <w:szCs w:val="21"/>
        </w:rPr>
        <w:t>谁是企业环境与职业健康安全负责人</w:t>
      </w:r>
    </w:p>
    <w:p w14:paraId="07865217">
      <w:pPr>
        <w:pStyle w:val="30"/>
        <w:numPr>
          <w:ilvl w:val="0"/>
          <w:numId w:val="10"/>
        </w:numPr>
        <w:spacing w:line="480" w:lineRule="exact"/>
        <w:ind w:hangingChars="200"/>
        <w:rPr>
          <w:rFonts w:eastAsia="微软雅黑"/>
          <w:szCs w:val="21"/>
        </w:rPr>
      </w:pPr>
      <w:r>
        <w:rPr>
          <w:rFonts w:eastAsia="微软雅黑"/>
          <w:szCs w:val="21"/>
        </w:rPr>
        <w:t>环境与职业健康安全法制建设及目前立法的最新动态</w:t>
      </w:r>
    </w:p>
    <w:p w14:paraId="77D5277A">
      <w:pPr>
        <w:pStyle w:val="30"/>
        <w:numPr>
          <w:ilvl w:val="0"/>
          <w:numId w:val="10"/>
        </w:numPr>
        <w:spacing w:line="480" w:lineRule="exact"/>
        <w:ind w:hangingChars="200"/>
        <w:rPr>
          <w:rFonts w:eastAsia="微软雅黑"/>
          <w:szCs w:val="21"/>
        </w:rPr>
      </w:pPr>
      <w:r>
        <w:rPr>
          <w:rFonts w:eastAsia="微软雅黑"/>
          <w:szCs w:val="21"/>
        </w:rPr>
        <w:t>重点关注企业的“三类人群”</w:t>
      </w:r>
    </w:p>
    <w:p w14:paraId="7564C298">
      <w:pPr>
        <w:pStyle w:val="30"/>
        <w:numPr>
          <w:ilvl w:val="0"/>
          <w:numId w:val="10"/>
        </w:numPr>
        <w:spacing w:line="480" w:lineRule="exact"/>
        <w:ind w:hangingChars="200"/>
        <w:rPr>
          <w:rFonts w:eastAsia="微软雅黑"/>
          <w:szCs w:val="21"/>
        </w:rPr>
      </w:pPr>
      <w:r>
        <w:rPr>
          <w:rFonts w:eastAsia="微软雅黑"/>
          <w:szCs w:val="21"/>
        </w:rPr>
        <w:t>三级环境与职业健康安全教育活动开展</w:t>
      </w:r>
    </w:p>
    <w:p w14:paraId="721F3941">
      <w:pPr>
        <w:pStyle w:val="30"/>
        <w:numPr>
          <w:ilvl w:val="0"/>
          <w:numId w:val="10"/>
        </w:numPr>
        <w:spacing w:line="480" w:lineRule="exact"/>
        <w:ind w:hangingChars="200"/>
        <w:rPr>
          <w:rFonts w:eastAsia="微软雅黑"/>
          <w:szCs w:val="21"/>
        </w:rPr>
      </w:pPr>
      <w:r>
        <w:rPr>
          <w:rFonts w:eastAsia="微软雅黑"/>
          <w:szCs w:val="21"/>
        </w:rPr>
        <w:t>班前会的环境与职业健康安全培训</w:t>
      </w:r>
    </w:p>
    <w:p w14:paraId="6BB9D685">
      <w:pPr>
        <w:pStyle w:val="30"/>
        <w:numPr>
          <w:ilvl w:val="0"/>
          <w:numId w:val="10"/>
        </w:numPr>
        <w:spacing w:line="480" w:lineRule="exact"/>
        <w:ind w:hangingChars="200"/>
        <w:rPr>
          <w:rFonts w:eastAsia="微软雅黑"/>
          <w:szCs w:val="21"/>
        </w:rPr>
      </w:pPr>
      <w:r>
        <w:rPr>
          <w:rFonts w:eastAsia="微软雅黑"/>
          <w:szCs w:val="21"/>
        </w:rPr>
        <w:t>工作安全分析（JSA工具）</w:t>
      </w:r>
    </w:p>
    <w:p w14:paraId="407FD93C">
      <w:pPr>
        <w:pStyle w:val="30"/>
        <w:numPr>
          <w:ilvl w:val="0"/>
          <w:numId w:val="10"/>
        </w:numPr>
        <w:spacing w:line="480" w:lineRule="exact"/>
        <w:ind w:hangingChars="200"/>
        <w:rPr>
          <w:rFonts w:eastAsia="微软雅黑"/>
          <w:szCs w:val="21"/>
        </w:rPr>
      </w:pPr>
      <w:r>
        <w:rPr>
          <w:rFonts w:eastAsia="微软雅黑"/>
          <w:szCs w:val="21"/>
        </w:rPr>
        <w:t>安全监察</w:t>
      </w:r>
    </w:p>
    <w:p w14:paraId="1778706F">
      <w:pPr>
        <w:pStyle w:val="30"/>
        <w:numPr>
          <w:ilvl w:val="0"/>
          <w:numId w:val="6"/>
        </w:numPr>
        <w:spacing w:line="480" w:lineRule="exact"/>
        <w:ind w:firstLineChars="0"/>
        <w:rPr>
          <w:rFonts w:eastAsia="微软雅黑"/>
          <w:szCs w:val="21"/>
        </w:rPr>
      </w:pPr>
      <w:r>
        <w:rPr>
          <w:rFonts w:eastAsia="微软雅黑"/>
          <w:szCs w:val="21"/>
        </w:rPr>
        <w:t>亡羊补牢之应急事故管理及处理技巧</w:t>
      </w:r>
    </w:p>
    <w:p w14:paraId="700EE4E6">
      <w:pPr>
        <w:spacing w:line="480" w:lineRule="exact"/>
        <w:rPr>
          <w:rFonts w:eastAsia="微软雅黑"/>
          <w:b/>
          <w:szCs w:val="21"/>
          <w:u w:val="single"/>
        </w:rPr>
      </w:pPr>
      <w:r>
        <w:rPr>
          <w:rFonts w:eastAsia="微软雅黑"/>
          <w:b/>
          <w:szCs w:val="21"/>
          <w:u w:val="single"/>
        </w:rPr>
        <w:t>结束语：再好的技术，再完美的规章，在实际操作层面也无法取代人自身的素质和责任心</w:t>
      </w:r>
    </w:p>
    <w:p w14:paraId="58E86427">
      <w:pPr>
        <w:pStyle w:val="30"/>
        <w:numPr>
          <w:ilvl w:val="0"/>
          <w:numId w:val="11"/>
        </w:numPr>
        <w:spacing w:line="480" w:lineRule="exact"/>
        <w:ind w:firstLineChars="0"/>
        <w:rPr>
          <w:rFonts w:eastAsia="微软雅黑"/>
          <w:b/>
          <w:szCs w:val="21"/>
          <w:u w:val="single"/>
        </w:rPr>
      </w:pPr>
      <w:r>
        <w:rPr>
          <w:rFonts w:eastAsia="微软雅黑"/>
          <w:b/>
          <w:szCs w:val="21"/>
          <w:u w:val="single"/>
        </w:rPr>
        <w:t>课程总结和收益：了解现场安全管理的方式方法，学会如何展开全员安全教育、编制企业各类安全检查表，掌握企业安全合规性管理</w:t>
      </w:r>
    </w:p>
    <w:p w14:paraId="4ED1A199">
      <w:pPr>
        <w:pStyle w:val="30"/>
        <w:numPr>
          <w:ilvl w:val="0"/>
          <w:numId w:val="11"/>
        </w:numPr>
        <w:spacing w:line="480" w:lineRule="exact"/>
        <w:ind w:firstLineChars="0"/>
        <w:rPr>
          <w:rFonts w:eastAsia="微软雅黑"/>
          <w:b/>
          <w:szCs w:val="21"/>
          <w:u w:val="single"/>
        </w:rPr>
      </w:pPr>
      <w:r>
        <w:rPr>
          <w:rFonts w:eastAsia="微软雅黑"/>
          <w:b/>
          <w:szCs w:val="21"/>
          <w:u w:val="single"/>
        </w:rPr>
        <w:t>课程输出：安全法规</w:t>
      </w:r>
    </w:p>
    <w:p w14:paraId="3DBC0DDC">
      <w:pPr>
        <w:spacing w:line="480" w:lineRule="exact"/>
        <w:ind w:left="420" w:leftChars="200"/>
        <w:rPr>
          <w:rFonts w:eastAsia="微软雅黑"/>
          <w:b/>
          <w:bCs/>
          <w:szCs w:val="21"/>
        </w:rPr>
      </w:pPr>
      <w:r>
        <w:rPr>
          <w:rFonts w:eastAsia="微软雅黑"/>
          <w:b/>
          <w:szCs w:val="21"/>
          <w:u w:val="single"/>
        </w:rPr>
        <w:t>安全监察表</w:t>
      </w:r>
    </w:p>
    <w:p w14:paraId="251DD2FE">
      <w:pPr>
        <w:spacing w:line="480" w:lineRule="exact"/>
        <w:rPr>
          <w:rFonts w:eastAsia="微软雅黑"/>
          <w:b/>
          <w:bCs/>
          <w:szCs w:val="21"/>
        </w:rPr>
      </w:pPr>
    </w:p>
    <w:p w14:paraId="7A0A0188">
      <w:pPr>
        <w:spacing w:line="480" w:lineRule="exact"/>
        <w:rPr>
          <w:rFonts w:eastAsia="微软雅黑"/>
          <w:b/>
          <w:bCs/>
          <w:szCs w:val="21"/>
        </w:rPr>
      </w:pPr>
      <w:r>
        <w:rPr>
          <w:rFonts w:eastAsia="微软雅黑"/>
          <w:b/>
          <w:bCs/>
          <w:szCs w:val="21"/>
        </w:rPr>
        <w:t>第五讲：职业健康篇</w:t>
      </w:r>
    </w:p>
    <w:p w14:paraId="270BA4B3">
      <w:pPr>
        <w:spacing w:line="480" w:lineRule="exact"/>
        <w:rPr>
          <w:rFonts w:eastAsia="微软雅黑"/>
          <w:b/>
          <w:szCs w:val="21"/>
        </w:rPr>
      </w:pPr>
      <w:r>
        <w:rPr>
          <w:rFonts w:eastAsia="微软雅黑"/>
          <w:b/>
          <w:bCs/>
          <w:szCs w:val="21"/>
        </w:rPr>
        <w:t>开篇：开胸验肺的悲剧</w:t>
      </w:r>
    </w:p>
    <w:p w14:paraId="5ACF89BB">
      <w:pPr>
        <w:pStyle w:val="30"/>
        <w:numPr>
          <w:ilvl w:val="0"/>
          <w:numId w:val="12"/>
        </w:numPr>
        <w:spacing w:line="480" w:lineRule="exact"/>
        <w:ind w:hangingChars="200"/>
        <w:rPr>
          <w:rFonts w:eastAsia="微软雅黑"/>
          <w:szCs w:val="21"/>
        </w:rPr>
      </w:pPr>
      <w:r>
        <w:rPr>
          <w:rFonts w:eastAsia="微软雅黑"/>
          <w:szCs w:val="21"/>
        </w:rPr>
        <w:t>凡是因工作原因所导致的疾病都是职业病吗？</w:t>
      </w:r>
    </w:p>
    <w:p w14:paraId="18762716">
      <w:pPr>
        <w:pStyle w:val="30"/>
        <w:numPr>
          <w:ilvl w:val="0"/>
          <w:numId w:val="12"/>
        </w:numPr>
        <w:spacing w:line="480" w:lineRule="exact"/>
        <w:ind w:hangingChars="200"/>
        <w:rPr>
          <w:rFonts w:eastAsia="微软雅黑"/>
          <w:szCs w:val="21"/>
        </w:rPr>
      </w:pPr>
      <w:r>
        <w:rPr>
          <w:rFonts w:eastAsia="微软雅黑"/>
          <w:szCs w:val="21"/>
        </w:rPr>
        <w:t>职业卫生“三同时”</w:t>
      </w:r>
    </w:p>
    <w:p w14:paraId="7F150AA6">
      <w:pPr>
        <w:pStyle w:val="30"/>
        <w:numPr>
          <w:ilvl w:val="0"/>
          <w:numId w:val="12"/>
        </w:numPr>
        <w:spacing w:line="480" w:lineRule="exact"/>
        <w:ind w:hangingChars="200"/>
        <w:rPr>
          <w:rFonts w:eastAsia="微软雅黑"/>
          <w:szCs w:val="21"/>
        </w:rPr>
      </w:pPr>
      <w:r>
        <w:rPr>
          <w:rFonts w:eastAsia="微软雅黑"/>
          <w:szCs w:val="21"/>
        </w:rPr>
        <w:t>职业病鉴定</w:t>
      </w:r>
    </w:p>
    <w:p w14:paraId="35769D50">
      <w:pPr>
        <w:pStyle w:val="30"/>
        <w:numPr>
          <w:ilvl w:val="0"/>
          <w:numId w:val="12"/>
        </w:numPr>
        <w:spacing w:line="480" w:lineRule="exact"/>
        <w:ind w:hangingChars="200"/>
        <w:rPr>
          <w:rFonts w:eastAsia="微软雅黑"/>
          <w:szCs w:val="21"/>
        </w:rPr>
      </w:pPr>
      <w:r>
        <w:rPr>
          <w:rFonts w:eastAsia="微软雅黑"/>
          <w:szCs w:val="21"/>
        </w:rPr>
        <w:t>新员工入职的职业危害告知</w:t>
      </w:r>
    </w:p>
    <w:p w14:paraId="0D91728B">
      <w:pPr>
        <w:pStyle w:val="30"/>
        <w:numPr>
          <w:ilvl w:val="0"/>
          <w:numId w:val="12"/>
        </w:numPr>
        <w:spacing w:line="480" w:lineRule="exact"/>
        <w:ind w:hangingChars="200"/>
        <w:rPr>
          <w:rFonts w:eastAsia="微软雅黑"/>
          <w:szCs w:val="21"/>
        </w:rPr>
      </w:pPr>
      <w:r>
        <w:rPr>
          <w:rFonts w:eastAsia="微软雅黑"/>
          <w:szCs w:val="21"/>
        </w:rPr>
        <w:t>职业危害防治方法</w:t>
      </w:r>
    </w:p>
    <w:p w14:paraId="06BC9B8A">
      <w:pPr>
        <w:pStyle w:val="30"/>
        <w:numPr>
          <w:ilvl w:val="0"/>
          <w:numId w:val="12"/>
        </w:numPr>
        <w:spacing w:line="480" w:lineRule="exact"/>
        <w:ind w:hangingChars="200"/>
        <w:rPr>
          <w:rFonts w:eastAsia="微软雅黑"/>
          <w:szCs w:val="21"/>
        </w:rPr>
      </w:pPr>
      <w:r>
        <w:rPr>
          <w:rFonts w:eastAsia="微软雅黑"/>
          <w:szCs w:val="21"/>
        </w:rPr>
        <w:t>职业危害因素监控</w:t>
      </w:r>
    </w:p>
    <w:p w14:paraId="1951B0AE">
      <w:pPr>
        <w:pStyle w:val="30"/>
        <w:numPr>
          <w:ilvl w:val="0"/>
          <w:numId w:val="12"/>
        </w:numPr>
        <w:spacing w:line="480" w:lineRule="exact"/>
        <w:ind w:hangingChars="200"/>
        <w:rPr>
          <w:rFonts w:eastAsia="微软雅黑"/>
          <w:szCs w:val="21"/>
        </w:rPr>
      </w:pPr>
      <w:r>
        <w:rPr>
          <w:rFonts w:eastAsia="微软雅黑"/>
          <w:szCs w:val="21"/>
        </w:rPr>
        <w:t>现场职业危害标识</w:t>
      </w:r>
    </w:p>
    <w:p w14:paraId="09F96083">
      <w:pPr>
        <w:pStyle w:val="30"/>
        <w:numPr>
          <w:ilvl w:val="0"/>
          <w:numId w:val="12"/>
        </w:numPr>
        <w:spacing w:line="480" w:lineRule="exact"/>
        <w:ind w:hangingChars="200"/>
        <w:rPr>
          <w:rFonts w:eastAsia="微软雅黑"/>
          <w:szCs w:val="21"/>
        </w:rPr>
      </w:pPr>
      <w:r>
        <w:rPr>
          <w:rFonts w:eastAsia="微软雅黑"/>
          <w:szCs w:val="21"/>
        </w:rPr>
        <w:t>体检与职业健康监护</w:t>
      </w:r>
    </w:p>
    <w:p w14:paraId="2FED2C32">
      <w:pPr>
        <w:spacing w:line="480" w:lineRule="exact"/>
        <w:rPr>
          <w:rFonts w:eastAsia="微软雅黑"/>
          <w:b/>
          <w:szCs w:val="21"/>
          <w:u w:val="single"/>
        </w:rPr>
      </w:pPr>
      <w:r>
        <w:rPr>
          <w:rStyle w:val="19"/>
          <w:rFonts w:eastAsia="微软雅黑"/>
          <w:szCs w:val="21"/>
          <w:u w:val="single"/>
        </w:rPr>
        <w:t>结束语：保护员工健康是我们共同的责任</w:t>
      </w:r>
    </w:p>
    <w:p w14:paraId="41127EC0">
      <w:pPr>
        <w:pStyle w:val="30"/>
        <w:numPr>
          <w:ilvl w:val="0"/>
          <w:numId w:val="13"/>
        </w:numPr>
        <w:spacing w:line="480" w:lineRule="exact"/>
        <w:ind w:firstLineChars="0"/>
        <w:rPr>
          <w:rFonts w:eastAsia="微软雅黑"/>
          <w:b/>
          <w:szCs w:val="21"/>
          <w:u w:val="single"/>
        </w:rPr>
      </w:pPr>
      <w:r>
        <w:rPr>
          <w:rFonts w:eastAsia="微软雅黑"/>
          <w:b/>
          <w:szCs w:val="21"/>
          <w:u w:val="single"/>
        </w:rPr>
        <w:t>课程总结和收益：理解职业危害因素与职业病的关系，掌握企业内部职业病防治的方式方法；</w:t>
      </w:r>
    </w:p>
    <w:p w14:paraId="14170CC7">
      <w:pPr>
        <w:pStyle w:val="30"/>
        <w:numPr>
          <w:ilvl w:val="0"/>
          <w:numId w:val="13"/>
        </w:numPr>
        <w:spacing w:line="480" w:lineRule="exact"/>
        <w:ind w:firstLineChars="0"/>
        <w:rPr>
          <w:rFonts w:eastAsia="微软雅黑"/>
          <w:b/>
          <w:szCs w:val="21"/>
          <w:u w:val="single"/>
        </w:rPr>
      </w:pPr>
      <w:r>
        <w:rPr>
          <w:rFonts w:eastAsia="微软雅黑"/>
          <w:b/>
          <w:szCs w:val="21"/>
          <w:u w:val="single"/>
        </w:rPr>
        <w:t>课程输出：职业健康监护档案。</w:t>
      </w:r>
    </w:p>
    <w:p w14:paraId="6675374E">
      <w:pPr>
        <w:spacing w:line="480" w:lineRule="exact"/>
        <w:rPr>
          <w:rFonts w:eastAsia="微软雅黑"/>
          <w:b/>
          <w:bCs/>
          <w:szCs w:val="21"/>
        </w:rPr>
      </w:pPr>
    </w:p>
    <w:p w14:paraId="365E25F2">
      <w:pPr>
        <w:spacing w:line="480" w:lineRule="exact"/>
        <w:rPr>
          <w:rFonts w:eastAsia="微软雅黑"/>
          <w:b/>
          <w:bCs/>
          <w:szCs w:val="21"/>
        </w:rPr>
      </w:pPr>
      <w:r>
        <w:rPr>
          <w:rFonts w:eastAsia="微软雅黑"/>
          <w:b/>
          <w:bCs/>
          <w:szCs w:val="21"/>
        </w:rPr>
        <w:t>第六讲：环境与职业健康安全文化篇</w:t>
      </w:r>
    </w:p>
    <w:p w14:paraId="56A49DC6">
      <w:pPr>
        <w:spacing w:line="480" w:lineRule="exact"/>
        <w:rPr>
          <w:rFonts w:eastAsia="微软雅黑"/>
          <w:b/>
          <w:szCs w:val="21"/>
        </w:rPr>
      </w:pPr>
      <w:r>
        <w:rPr>
          <w:rFonts w:eastAsia="微软雅黑"/>
          <w:b/>
          <w:bCs/>
          <w:szCs w:val="21"/>
        </w:rPr>
        <w:t>开篇：人管人累死人，制度管人，文化管人管住魂。</w:t>
      </w:r>
    </w:p>
    <w:p w14:paraId="49A96721">
      <w:pPr>
        <w:pStyle w:val="30"/>
        <w:numPr>
          <w:ilvl w:val="0"/>
          <w:numId w:val="14"/>
        </w:numPr>
        <w:spacing w:line="480" w:lineRule="exact"/>
        <w:ind w:hangingChars="200"/>
        <w:rPr>
          <w:rFonts w:eastAsia="微软雅黑"/>
          <w:szCs w:val="21"/>
        </w:rPr>
      </w:pPr>
      <w:r>
        <w:rPr>
          <w:rFonts w:eastAsia="微软雅黑"/>
          <w:szCs w:val="21"/>
        </w:rPr>
        <w:t>环境与职业健康安全委员会</w:t>
      </w:r>
    </w:p>
    <w:p w14:paraId="0877D4DC">
      <w:pPr>
        <w:pStyle w:val="30"/>
        <w:numPr>
          <w:ilvl w:val="0"/>
          <w:numId w:val="14"/>
        </w:numPr>
        <w:spacing w:line="480" w:lineRule="exact"/>
        <w:ind w:hangingChars="200"/>
        <w:rPr>
          <w:rFonts w:eastAsia="微软雅黑"/>
          <w:szCs w:val="21"/>
        </w:rPr>
      </w:pPr>
      <w:r>
        <w:rPr>
          <w:rFonts w:eastAsia="微软雅黑"/>
          <w:szCs w:val="21"/>
        </w:rPr>
        <w:t>物质文化</w:t>
      </w:r>
    </w:p>
    <w:p w14:paraId="67E9685A">
      <w:pPr>
        <w:pStyle w:val="30"/>
        <w:numPr>
          <w:ilvl w:val="0"/>
          <w:numId w:val="14"/>
        </w:numPr>
        <w:spacing w:line="480" w:lineRule="exact"/>
        <w:ind w:hangingChars="200"/>
        <w:rPr>
          <w:rFonts w:eastAsia="微软雅黑"/>
          <w:szCs w:val="21"/>
        </w:rPr>
      </w:pPr>
      <w:r>
        <w:rPr>
          <w:rFonts w:eastAsia="微软雅黑"/>
          <w:szCs w:val="21"/>
        </w:rPr>
        <w:t>制度文化</w:t>
      </w:r>
    </w:p>
    <w:p w14:paraId="67B21128">
      <w:pPr>
        <w:pStyle w:val="30"/>
        <w:numPr>
          <w:ilvl w:val="0"/>
          <w:numId w:val="14"/>
        </w:numPr>
        <w:spacing w:line="480" w:lineRule="exact"/>
        <w:ind w:hangingChars="200"/>
        <w:rPr>
          <w:rFonts w:eastAsia="微软雅黑"/>
          <w:szCs w:val="21"/>
        </w:rPr>
      </w:pPr>
      <w:r>
        <w:rPr>
          <w:rFonts w:eastAsia="微软雅黑"/>
          <w:szCs w:val="21"/>
        </w:rPr>
        <w:t>精神文化</w:t>
      </w:r>
    </w:p>
    <w:p w14:paraId="18E4FB5D">
      <w:pPr>
        <w:pStyle w:val="30"/>
        <w:numPr>
          <w:ilvl w:val="0"/>
          <w:numId w:val="14"/>
        </w:numPr>
        <w:spacing w:line="480" w:lineRule="exact"/>
        <w:ind w:hangingChars="200"/>
        <w:rPr>
          <w:rFonts w:eastAsia="微软雅黑"/>
          <w:szCs w:val="21"/>
        </w:rPr>
      </w:pPr>
      <w:r>
        <w:rPr>
          <w:rFonts w:eastAsia="微软雅黑"/>
          <w:szCs w:val="21"/>
        </w:rPr>
        <w:t>价值及行为规范文化</w:t>
      </w:r>
    </w:p>
    <w:p w14:paraId="198BB946">
      <w:pPr>
        <w:spacing w:line="480" w:lineRule="exact"/>
        <w:rPr>
          <w:rFonts w:eastAsia="微软雅黑"/>
          <w:b/>
          <w:szCs w:val="21"/>
          <w:u w:val="single"/>
        </w:rPr>
      </w:pPr>
      <w:r>
        <w:rPr>
          <w:rStyle w:val="19"/>
          <w:rFonts w:eastAsia="微软雅黑"/>
          <w:szCs w:val="21"/>
          <w:u w:val="single"/>
        </w:rPr>
        <w:t>结束语：企业管理的最高境界是文化管理</w:t>
      </w:r>
    </w:p>
    <w:p w14:paraId="304102F3">
      <w:pPr>
        <w:pStyle w:val="30"/>
        <w:numPr>
          <w:ilvl w:val="0"/>
          <w:numId w:val="15"/>
        </w:numPr>
        <w:spacing w:line="480" w:lineRule="exact"/>
        <w:ind w:firstLineChars="0"/>
        <w:rPr>
          <w:rFonts w:eastAsia="微软雅黑"/>
          <w:b/>
          <w:szCs w:val="21"/>
          <w:u w:val="single"/>
        </w:rPr>
      </w:pPr>
      <w:r>
        <w:rPr>
          <w:rFonts w:eastAsia="微软雅黑"/>
          <w:b/>
          <w:szCs w:val="21"/>
          <w:u w:val="single"/>
        </w:rPr>
        <w:t>课程收益：理解安全文化的重要性，掌握环境与职业健康安全委员会的建立和工作的展开；</w:t>
      </w:r>
    </w:p>
    <w:p w14:paraId="095570A5">
      <w:pPr>
        <w:pStyle w:val="30"/>
        <w:numPr>
          <w:ilvl w:val="0"/>
          <w:numId w:val="15"/>
        </w:numPr>
        <w:spacing w:line="480" w:lineRule="exact"/>
        <w:ind w:firstLineChars="0"/>
        <w:rPr>
          <w:rFonts w:eastAsia="微软雅黑"/>
          <w:b/>
          <w:bCs/>
          <w:sz w:val="24"/>
        </w:rPr>
      </w:pPr>
      <w:r>
        <w:rPr>
          <w:rFonts w:eastAsia="微软雅黑"/>
          <w:b/>
          <w:szCs w:val="21"/>
          <w:u w:val="single"/>
        </w:rPr>
        <w:t>课程输出：年度安全文化活动计划，</w:t>
      </w:r>
    </w:p>
    <w:p w14:paraId="615ADDC2">
      <w:pPr>
        <w:spacing w:line="480" w:lineRule="exact"/>
        <w:rPr>
          <w:rFonts w:eastAsia="微软雅黑"/>
          <w:b/>
          <w:bCs/>
          <w:szCs w:val="21"/>
        </w:rPr>
      </w:pPr>
      <w:r>
        <w:rPr>
          <w:rFonts w:eastAsia="微软雅黑"/>
          <w:b/>
          <w:bCs/>
          <w:szCs w:val="21"/>
        </w:rPr>
        <w:t>结束篇</w:t>
      </w:r>
    </w:p>
    <w:p w14:paraId="17BFA671">
      <w:pPr>
        <w:spacing w:line="480" w:lineRule="exact"/>
        <w:rPr>
          <w:rFonts w:eastAsia="微软雅黑"/>
          <w:b/>
          <w:bCs/>
          <w:szCs w:val="21"/>
        </w:rPr>
      </w:pPr>
      <w:r>
        <w:rPr>
          <w:rFonts w:eastAsia="微软雅黑"/>
          <w:b/>
          <w:bCs/>
          <w:szCs w:val="21"/>
        </w:rPr>
        <w:t>充分运用课程知识，针对某公司改建车间的HES管理案例进行分析</w:t>
      </w:r>
    </w:p>
    <w:p w14:paraId="5E24F5AE">
      <w:pPr>
        <w:spacing w:line="480" w:lineRule="exact"/>
        <w:rPr>
          <w:rFonts w:eastAsia="微软雅黑"/>
          <w:b/>
          <w:color w:val="C00000"/>
          <w:sz w:val="24"/>
          <w14:shadow w14:blurRad="50800" w14:dist="38100" w14:dir="2700000" w14:sx="100000" w14:sy="100000" w14:kx="0" w14:ky="0" w14:algn="tl">
            <w14:srgbClr w14:val="000000">
              <w14:alpha w14:val="60000"/>
            </w14:srgbClr>
          </w14:shadow>
        </w:rPr>
      </w:pPr>
    </w:p>
    <w:p w14:paraId="6316A335">
      <w:pPr>
        <w:spacing w:line="480" w:lineRule="exact"/>
        <w:rPr>
          <w:rStyle w:val="34"/>
          <w:rFonts w:hint="default" w:eastAsia="微软雅黑"/>
          <w:b/>
          <w:sz w:val="24"/>
          <w:szCs w:val="24"/>
          <w14:shadow w14:blurRad="50800" w14:dist="38100" w14:dir="2700000" w14:sx="100000" w14:sy="100000" w14:kx="0" w14:ky="0" w14:algn="tl">
            <w14:srgbClr w14:val="000000">
              <w14:alpha w14:val="60000"/>
            </w14:srgbClr>
          </w14:shadow>
        </w:rPr>
      </w:pPr>
      <w:r>
        <w:rPr>
          <w:rFonts w:eastAsia="微软雅黑"/>
          <w:b/>
          <w:color w:val="C00000"/>
          <w:sz w:val="24"/>
          <w14:shadow w14:blurRad="50800" w14:dist="38100" w14:dir="2700000" w14:sx="100000" w14:sy="100000" w14:kx="0" w14:ky="0" w14:algn="tl">
            <w14:srgbClr w14:val="000000">
              <w14:alpha w14:val="60000"/>
            </w14:srgbClr>
          </w14:shadow>
        </w:rPr>
        <w:t>讲师介绍：</w:t>
      </w:r>
      <w:r>
        <w:rPr>
          <w:rStyle w:val="34"/>
          <w:rFonts w:hint="default" w:eastAsia="微软雅黑"/>
          <w:b/>
          <w:sz w:val="24"/>
          <w:szCs w:val="24"/>
          <w14:shadow w14:blurRad="50800" w14:dist="38100" w14:dir="2700000" w14:sx="100000" w14:sy="100000" w14:kx="0" w14:ky="0" w14:algn="tl">
            <w14:srgbClr w14:val="000000">
              <w14:alpha w14:val="60000"/>
            </w14:srgbClr>
          </w14:shadow>
        </w:rPr>
        <w:t>周老师</w:t>
      </w:r>
    </w:p>
    <w:p w14:paraId="47366E36">
      <w:pPr>
        <w:spacing w:line="480" w:lineRule="exact"/>
        <w:ind w:left="155" w:hanging="155" w:hangingChars="74"/>
        <w:rPr>
          <w:rFonts w:eastAsia="微软雅黑"/>
          <w:b/>
          <w:bCs/>
          <w:szCs w:val="21"/>
        </w:rPr>
      </w:pPr>
      <w:r>
        <w:rPr>
          <w:rFonts w:eastAsia="微软雅黑"/>
          <w:b/>
          <w:bCs/>
          <w:szCs w:val="21"/>
        </w:rPr>
        <w:t>授课风格：</w:t>
      </w:r>
    </w:p>
    <w:p w14:paraId="67E0071F">
      <w:pPr>
        <w:tabs>
          <w:tab w:val="left" w:pos="420"/>
        </w:tabs>
        <w:spacing w:line="480" w:lineRule="exact"/>
        <w:ind w:firstLine="420" w:firstLineChars="200"/>
        <w:jc w:val="left"/>
        <w:rPr>
          <w:rFonts w:eastAsia="微软雅黑"/>
          <w:szCs w:val="21"/>
        </w:rPr>
      </w:pPr>
      <w:r>
        <w:rPr>
          <w:rFonts w:eastAsia="微软雅黑"/>
          <w:szCs w:val="21"/>
        </w:rPr>
        <w:t>具有近二十年讲师经历的周老师的授课：案例丰富、课程生动、幽默，讲解深入浅出。对参训者具有极大的吸引力、感染力和意想不到的后续效果，深受学员欢迎。</w:t>
      </w:r>
    </w:p>
    <w:p w14:paraId="332CC844">
      <w:pPr>
        <w:spacing w:line="480" w:lineRule="exact"/>
        <w:ind w:left="155" w:hanging="155" w:hangingChars="74"/>
        <w:rPr>
          <w:rFonts w:eastAsia="微软雅黑"/>
          <w:b/>
          <w:bCs/>
          <w:szCs w:val="21"/>
        </w:rPr>
      </w:pPr>
      <w:r>
        <w:rPr>
          <w:rFonts w:eastAsia="微软雅黑"/>
          <w:b/>
          <w:bCs/>
          <w:szCs w:val="21"/>
        </w:rPr>
        <w:t>培训专长：</w:t>
      </w:r>
    </w:p>
    <w:p w14:paraId="1E63F9C4">
      <w:pPr>
        <w:pStyle w:val="30"/>
        <w:numPr>
          <w:ilvl w:val="0"/>
          <w:numId w:val="16"/>
        </w:numPr>
        <w:tabs>
          <w:tab w:val="left" w:pos="420"/>
        </w:tabs>
        <w:spacing w:line="480" w:lineRule="exact"/>
        <w:ind w:left="155" w:hanging="155" w:hangingChars="74"/>
        <w:jc w:val="left"/>
        <w:rPr>
          <w:rFonts w:eastAsia="微软雅黑"/>
          <w:szCs w:val="21"/>
        </w:rPr>
      </w:pPr>
      <w:r>
        <w:rPr>
          <w:rFonts w:eastAsia="微软雅黑"/>
          <w:szCs w:val="21"/>
        </w:rPr>
        <w:t>QEHS内审员培训系列：</w:t>
      </w:r>
    </w:p>
    <w:p w14:paraId="7217B1F0">
      <w:pPr>
        <w:pStyle w:val="30"/>
        <w:tabs>
          <w:tab w:val="left" w:pos="420"/>
        </w:tabs>
        <w:spacing w:line="480" w:lineRule="exact"/>
        <w:ind w:left="155" w:hanging="155" w:hangingChars="74"/>
        <w:jc w:val="left"/>
        <w:rPr>
          <w:rFonts w:eastAsia="微软雅黑"/>
          <w:szCs w:val="21"/>
        </w:rPr>
      </w:pPr>
      <w:r>
        <w:rPr>
          <w:rFonts w:eastAsia="微软雅黑"/>
          <w:szCs w:val="21"/>
        </w:rPr>
        <w:t>ISO9001、14001、45001、QC080000体系</w:t>
      </w:r>
    </w:p>
    <w:p w14:paraId="3FF39188">
      <w:pPr>
        <w:pStyle w:val="30"/>
        <w:numPr>
          <w:ilvl w:val="0"/>
          <w:numId w:val="16"/>
        </w:numPr>
        <w:tabs>
          <w:tab w:val="left" w:pos="420"/>
        </w:tabs>
        <w:spacing w:line="480" w:lineRule="exact"/>
        <w:ind w:left="155" w:hanging="155" w:hangingChars="74"/>
        <w:jc w:val="left"/>
        <w:rPr>
          <w:rFonts w:eastAsia="微软雅黑"/>
          <w:szCs w:val="21"/>
        </w:rPr>
      </w:pPr>
      <w:r>
        <w:rPr>
          <w:rFonts w:eastAsia="微软雅黑"/>
          <w:szCs w:val="21"/>
        </w:rPr>
        <w:t>企业EHS专业管理系列</w:t>
      </w:r>
    </w:p>
    <w:p w14:paraId="4BA72D75">
      <w:pPr>
        <w:pStyle w:val="30"/>
        <w:numPr>
          <w:ilvl w:val="0"/>
          <w:numId w:val="17"/>
        </w:numPr>
        <w:tabs>
          <w:tab w:val="left" w:pos="420"/>
        </w:tabs>
        <w:spacing w:line="480" w:lineRule="exact"/>
        <w:ind w:firstLineChars="0"/>
        <w:jc w:val="left"/>
        <w:rPr>
          <w:rFonts w:eastAsia="微软雅黑"/>
          <w:szCs w:val="21"/>
        </w:rPr>
      </w:pPr>
      <w:r>
        <w:rPr>
          <w:rFonts w:eastAsia="微软雅黑"/>
          <w:szCs w:val="21"/>
        </w:rPr>
        <w:t>环境因素与危险源辨识及其风险控制技术</w:t>
      </w:r>
    </w:p>
    <w:p w14:paraId="436CC229">
      <w:pPr>
        <w:pStyle w:val="30"/>
        <w:numPr>
          <w:ilvl w:val="0"/>
          <w:numId w:val="17"/>
        </w:numPr>
        <w:tabs>
          <w:tab w:val="left" w:pos="420"/>
        </w:tabs>
        <w:spacing w:line="480" w:lineRule="exact"/>
        <w:ind w:firstLineChars="0"/>
        <w:jc w:val="left"/>
        <w:rPr>
          <w:rFonts w:eastAsia="微软雅黑"/>
          <w:szCs w:val="21"/>
        </w:rPr>
      </w:pPr>
      <w:r>
        <w:rPr>
          <w:rFonts w:eastAsia="微软雅黑"/>
          <w:szCs w:val="21"/>
        </w:rPr>
        <w:t>EHS工程师能力提升暨零事故环境、安全与职业健康管理</w:t>
      </w:r>
    </w:p>
    <w:p w14:paraId="11C82DD4">
      <w:pPr>
        <w:pStyle w:val="30"/>
        <w:numPr>
          <w:ilvl w:val="0"/>
          <w:numId w:val="17"/>
        </w:numPr>
        <w:tabs>
          <w:tab w:val="left" w:pos="420"/>
        </w:tabs>
        <w:spacing w:line="480" w:lineRule="exact"/>
        <w:ind w:firstLineChars="0"/>
        <w:jc w:val="left"/>
        <w:rPr>
          <w:rFonts w:eastAsia="微软雅黑"/>
          <w:szCs w:val="21"/>
        </w:rPr>
      </w:pPr>
      <w:r>
        <w:rPr>
          <w:rFonts w:eastAsia="微软雅黑"/>
          <w:szCs w:val="21"/>
        </w:rPr>
        <w:t>企业安全管理责任意识提升</w:t>
      </w:r>
    </w:p>
    <w:p w14:paraId="0527D43E">
      <w:pPr>
        <w:pStyle w:val="30"/>
        <w:numPr>
          <w:ilvl w:val="0"/>
          <w:numId w:val="17"/>
        </w:numPr>
        <w:tabs>
          <w:tab w:val="left" w:pos="420"/>
        </w:tabs>
        <w:spacing w:line="480" w:lineRule="exact"/>
        <w:ind w:firstLineChars="0"/>
        <w:jc w:val="left"/>
        <w:rPr>
          <w:rFonts w:eastAsia="微软雅黑"/>
          <w:szCs w:val="21"/>
        </w:rPr>
      </w:pPr>
      <w:r>
        <w:rPr>
          <w:rFonts w:eastAsia="微软雅黑"/>
          <w:szCs w:val="21"/>
        </w:rPr>
        <w:t>EHS法律法规要求与合规性管理</w:t>
      </w:r>
    </w:p>
    <w:p w14:paraId="4E3E3722">
      <w:pPr>
        <w:pStyle w:val="30"/>
        <w:numPr>
          <w:ilvl w:val="0"/>
          <w:numId w:val="17"/>
        </w:numPr>
        <w:tabs>
          <w:tab w:val="left" w:pos="420"/>
        </w:tabs>
        <w:spacing w:line="480" w:lineRule="exact"/>
        <w:ind w:firstLineChars="0"/>
        <w:jc w:val="left"/>
        <w:rPr>
          <w:rFonts w:eastAsia="微软雅黑"/>
          <w:szCs w:val="21"/>
        </w:rPr>
      </w:pPr>
      <w:r>
        <w:rPr>
          <w:rFonts w:eastAsia="微软雅黑"/>
          <w:szCs w:val="21"/>
        </w:rPr>
        <w:t>危险化学品安全管理知识</w:t>
      </w:r>
    </w:p>
    <w:p w14:paraId="78C5AF53">
      <w:pPr>
        <w:pStyle w:val="30"/>
        <w:numPr>
          <w:ilvl w:val="0"/>
          <w:numId w:val="17"/>
        </w:numPr>
        <w:tabs>
          <w:tab w:val="left" w:pos="420"/>
        </w:tabs>
        <w:spacing w:line="480" w:lineRule="exact"/>
        <w:ind w:firstLineChars="0"/>
        <w:jc w:val="left"/>
        <w:rPr>
          <w:rFonts w:eastAsia="微软雅黑"/>
          <w:szCs w:val="21"/>
        </w:rPr>
      </w:pPr>
      <w:r>
        <w:rPr>
          <w:rFonts w:eastAsia="微软雅黑"/>
          <w:szCs w:val="21"/>
        </w:rPr>
        <w:t>设备检维修之临时危险作业管理</w:t>
      </w:r>
    </w:p>
    <w:p w14:paraId="68358DD2">
      <w:pPr>
        <w:pStyle w:val="30"/>
        <w:numPr>
          <w:ilvl w:val="0"/>
          <w:numId w:val="17"/>
        </w:numPr>
        <w:tabs>
          <w:tab w:val="left" w:pos="420"/>
        </w:tabs>
        <w:spacing w:line="480" w:lineRule="exact"/>
        <w:ind w:firstLineChars="0"/>
        <w:jc w:val="left"/>
        <w:rPr>
          <w:rFonts w:eastAsia="微软雅黑"/>
          <w:szCs w:val="21"/>
        </w:rPr>
      </w:pPr>
      <w:r>
        <w:rPr>
          <w:rFonts w:eastAsia="微软雅黑"/>
          <w:szCs w:val="21"/>
        </w:rPr>
        <w:t>JSA工作安全分析</w:t>
      </w:r>
    </w:p>
    <w:p w14:paraId="3C0F9418">
      <w:pPr>
        <w:pStyle w:val="30"/>
        <w:numPr>
          <w:ilvl w:val="0"/>
          <w:numId w:val="17"/>
        </w:numPr>
        <w:tabs>
          <w:tab w:val="left" w:pos="420"/>
        </w:tabs>
        <w:spacing w:line="480" w:lineRule="exact"/>
        <w:ind w:firstLineChars="0"/>
        <w:jc w:val="left"/>
        <w:rPr>
          <w:rFonts w:eastAsia="微软雅黑"/>
          <w:szCs w:val="21"/>
        </w:rPr>
      </w:pPr>
      <w:r>
        <w:rPr>
          <w:rFonts w:eastAsia="微软雅黑"/>
          <w:szCs w:val="21"/>
        </w:rPr>
        <w:t>KYT危险预知训练</w:t>
      </w:r>
    </w:p>
    <w:p w14:paraId="2EC0984E">
      <w:pPr>
        <w:spacing w:line="480" w:lineRule="exact"/>
        <w:ind w:left="155" w:hanging="155" w:hangingChars="74"/>
        <w:jc w:val="left"/>
        <w:rPr>
          <w:rFonts w:eastAsia="微软雅黑"/>
          <w:b/>
          <w:bCs/>
          <w:szCs w:val="21"/>
        </w:rPr>
      </w:pPr>
      <w:r>
        <w:rPr>
          <w:rFonts w:eastAsia="微软雅黑"/>
          <w:b/>
          <w:bCs/>
          <w:szCs w:val="21"/>
        </w:rPr>
        <w:t>授课辅导经历：</w:t>
      </w:r>
    </w:p>
    <w:p w14:paraId="55603176">
      <w:pPr>
        <w:tabs>
          <w:tab w:val="left" w:pos="318"/>
          <w:tab w:val="left" w:pos="744"/>
        </w:tabs>
        <w:spacing w:line="480" w:lineRule="exact"/>
        <w:ind w:left="155" w:hanging="155" w:hangingChars="74"/>
        <w:jc w:val="left"/>
        <w:rPr>
          <w:rFonts w:eastAsia="微软雅黑"/>
          <w:szCs w:val="21"/>
        </w:rPr>
      </w:pPr>
      <w:r>
        <w:rPr>
          <w:rFonts w:eastAsia="微软雅黑"/>
          <w:szCs w:val="21"/>
        </w:rPr>
        <w:t>1.</w:t>
      </w:r>
      <w:r>
        <w:rPr>
          <w:rFonts w:eastAsia="微软雅黑"/>
          <w:szCs w:val="21"/>
        </w:rPr>
        <w:tab/>
      </w:r>
      <w:r>
        <w:rPr>
          <w:rFonts w:eastAsia="微软雅黑"/>
          <w:szCs w:val="21"/>
        </w:rPr>
        <w:t>化工类：燕山石化、星湖科技、江山制药、长春化工、博徳化工、建滔化工、确信乐思、雅士利涂料、恒顺达化工、竹本油脂、美克尼化工、罗森化工、湛新树脂、泰柯宗化、贝特利、扬州中化码头、阿朗台橡化学、依工聚合等</w:t>
      </w:r>
      <w:r>
        <w:rPr>
          <w:rFonts w:hint="eastAsia" w:eastAsia="微软雅黑"/>
          <w:szCs w:val="21"/>
        </w:rPr>
        <w:t>；</w:t>
      </w:r>
    </w:p>
    <w:p w14:paraId="1C52B41A">
      <w:pPr>
        <w:tabs>
          <w:tab w:val="left" w:pos="318"/>
          <w:tab w:val="left" w:pos="744"/>
        </w:tabs>
        <w:spacing w:line="480" w:lineRule="exact"/>
        <w:ind w:left="155" w:hanging="155" w:hangingChars="74"/>
        <w:jc w:val="left"/>
        <w:rPr>
          <w:rFonts w:eastAsia="微软雅黑"/>
          <w:szCs w:val="21"/>
        </w:rPr>
      </w:pPr>
      <w:r>
        <w:rPr>
          <w:rFonts w:eastAsia="微软雅黑"/>
          <w:szCs w:val="21"/>
        </w:rPr>
        <w:t>2.</w:t>
      </w:r>
      <w:r>
        <w:rPr>
          <w:rFonts w:eastAsia="微软雅黑"/>
          <w:szCs w:val="21"/>
        </w:rPr>
        <w:tab/>
      </w:r>
      <w:r>
        <w:rPr>
          <w:rFonts w:eastAsia="微软雅黑"/>
          <w:szCs w:val="21"/>
        </w:rPr>
        <w:t>轻工机械类：首屋尔金属、帝达贝轴承、利欧股份、YKK AP吉田建材、帝安贝金属、诺德传动、大金空调、通鼎光电、永鼎光缆、亨通集团、中航宝胜、灏讯电缆、日立电梯、库卡机器人、彤帆智能等</w:t>
      </w:r>
      <w:r>
        <w:rPr>
          <w:rFonts w:hint="eastAsia" w:eastAsia="微软雅黑"/>
          <w:szCs w:val="21"/>
        </w:rPr>
        <w:t>；</w:t>
      </w:r>
    </w:p>
    <w:p w14:paraId="2FDEF9CE">
      <w:pPr>
        <w:tabs>
          <w:tab w:val="left" w:pos="318"/>
          <w:tab w:val="left" w:pos="744"/>
        </w:tabs>
        <w:spacing w:line="480" w:lineRule="exact"/>
        <w:ind w:left="155" w:hanging="155" w:hangingChars="74"/>
        <w:jc w:val="left"/>
        <w:rPr>
          <w:rFonts w:eastAsia="微软雅黑"/>
          <w:szCs w:val="21"/>
        </w:rPr>
      </w:pPr>
      <w:r>
        <w:rPr>
          <w:rFonts w:eastAsia="微软雅黑"/>
          <w:szCs w:val="21"/>
        </w:rPr>
        <w:t>3.</w:t>
      </w:r>
      <w:r>
        <w:rPr>
          <w:rFonts w:eastAsia="微软雅黑"/>
          <w:szCs w:val="21"/>
        </w:rPr>
        <w:tab/>
      </w:r>
      <w:r>
        <w:rPr>
          <w:rFonts w:eastAsia="微软雅黑"/>
          <w:szCs w:val="21"/>
        </w:rPr>
        <w:t>轻工纺织类：新民科技、盛虹科技、恒力集团、米歇尔羊毛、鼎盛丝绸、金伦织造、天迈纺织、国望高科、福华织造、中屹机械、青田制衣、震纶纺织等</w:t>
      </w:r>
      <w:r>
        <w:rPr>
          <w:rFonts w:hint="eastAsia" w:eastAsia="微软雅黑"/>
          <w:szCs w:val="21"/>
        </w:rPr>
        <w:t>；</w:t>
      </w:r>
    </w:p>
    <w:p w14:paraId="28B18DE9">
      <w:pPr>
        <w:tabs>
          <w:tab w:val="left" w:pos="318"/>
          <w:tab w:val="left" w:pos="744"/>
        </w:tabs>
        <w:spacing w:line="480" w:lineRule="exact"/>
        <w:ind w:left="155" w:hanging="155" w:hangingChars="74"/>
        <w:jc w:val="left"/>
        <w:rPr>
          <w:rFonts w:eastAsia="微软雅黑"/>
          <w:szCs w:val="21"/>
        </w:rPr>
      </w:pPr>
      <w:r>
        <w:rPr>
          <w:rFonts w:eastAsia="微软雅黑"/>
          <w:szCs w:val="21"/>
        </w:rPr>
        <w:t>4.</w:t>
      </w:r>
      <w:r>
        <w:rPr>
          <w:rFonts w:eastAsia="微软雅黑"/>
          <w:szCs w:val="21"/>
        </w:rPr>
        <w:tab/>
      </w:r>
      <w:r>
        <w:rPr>
          <w:rFonts w:eastAsia="微软雅黑"/>
          <w:szCs w:val="21"/>
        </w:rPr>
        <w:t>汽车行业：东风派恩、江淮汽车、南亚汽车、万都底盘、索格菲汽车、索菲玛汽车、安路特汽车、乔治费歇尔、大众联合、博格思众、南京马自达、江锻汽车、道氏汽车、广汽菲亚特、德科斯米尔、马勒中国、麦格纳镜像等</w:t>
      </w:r>
      <w:r>
        <w:rPr>
          <w:rFonts w:hint="eastAsia" w:eastAsia="微软雅黑"/>
          <w:szCs w:val="21"/>
        </w:rPr>
        <w:t>；</w:t>
      </w:r>
    </w:p>
    <w:p w14:paraId="3DE11AF6">
      <w:pPr>
        <w:tabs>
          <w:tab w:val="left" w:pos="318"/>
          <w:tab w:val="left" w:pos="744"/>
        </w:tabs>
        <w:spacing w:line="480" w:lineRule="exact"/>
        <w:ind w:left="155" w:hanging="155" w:hangingChars="74"/>
        <w:jc w:val="left"/>
        <w:rPr>
          <w:rFonts w:eastAsia="微软雅黑"/>
          <w:szCs w:val="21"/>
        </w:rPr>
      </w:pPr>
      <w:r>
        <w:rPr>
          <w:rFonts w:eastAsia="微软雅黑"/>
          <w:szCs w:val="21"/>
        </w:rPr>
        <w:t>5.</w:t>
      </w:r>
      <w:r>
        <w:rPr>
          <w:rFonts w:eastAsia="微软雅黑"/>
          <w:szCs w:val="21"/>
        </w:rPr>
        <w:tab/>
      </w:r>
      <w:r>
        <w:rPr>
          <w:rFonts w:eastAsia="微软雅黑"/>
          <w:szCs w:val="21"/>
        </w:rPr>
        <w:t>电子行业：恩德斯豪斯、罗杰斯科技、NEC东京电子、美国超导、巨腾国际、裕廊科技、航空电子、TT电子、CBC真空电子、爱普生、三菱电机、京东方科技、三星半导体、晶品光电、惠科金渝、欧姆龙电气、金宇阳电子、通富超威（AMD）、时代芯存半导体、时代全芯科技、鸿淋电子、捷普科技、安费诺科技、能讯高能半导体、华为（上海研究中心和苏州研究中心）、五方光电、微密科技等</w:t>
      </w:r>
      <w:r>
        <w:rPr>
          <w:rFonts w:hint="eastAsia" w:eastAsia="微软雅黑"/>
          <w:szCs w:val="21"/>
        </w:rPr>
        <w:t>；</w:t>
      </w:r>
    </w:p>
    <w:p w14:paraId="12BFE414">
      <w:pPr>
        <w:tabs>
          <w:tab w:val="left" w:pos="318"/>
          <w:tab w:val="left" w:pos="744"/>
        </w:tabs>
        <w:spacing w:line="480" w:lineRule="exact"/>
        <w:ind w:left="155" w:hanging="155" w:hangingChars="74"/>
        <w:jc w:val="left"/>
        <w:rPr>
          <w:rFonts w:hAnsi="微软雅黑" w:eastAsia="微软雅黑"/>
          <w:szCs w:val="24"/>
        </w:rPr>
      </w:pPr>
      <w:r>
        <w:rPr>
          <w:rFonts w:eastAsia="微软雅黑"/>
          <w:szCs w:val="21"/>
        </w:rPr>
        <w:t>6.</w:t>
      </w:r>
      <w:r>
        <w:rPr>
          <w:rFonts w:eastAsia="微软雅黑"/>
          <w:szCs w:val="21"/>
        </w:rPr>
        <w:tab/>
      </w:r>
      <w:r>
        <w:rPr>
          <w:rFonts w:eastAsia="微软雅黑"/>
          <w:szCs w:val="21"/>
        </w:rPr>
        <w:t>其他行业：百特医疗、张家港港务局、中兴高尔夫、南玻玻璃、卡尔玛地板、华东38所、华润集团、韩华新能源、永新玻璃、福伊特、欧普照明、NGK、佳禾食品、苏州创元股份、北美枫情、优谷科技、住理工、岛津仪器、重庆奥特斯等</w:t>
      </w:r>
      <w:r>
        <w:rPr>
          <w:rFonts w:hint="eastAsia" w:eastAsia="微软雅黑"/>
          <w:szCs w:val="21"/>
        </w:rPr>
        <w:t>。</w:t>
      </w:r>
    </w:p>
    <w:sectPr>
      <w:headerReference r:id="rId3" w:type="default"/>
      <w:footerReference r:id="rId4"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8404">
    <w:pPr>
      <w:pStyle w:val="11"/>
    </w:pPr>
    <w:r>
      <mc:AlternateContent>
        <mc:Choice Requires="wps">
          <w:drawing>
            <wp:anchor distT="0" distB="0" distL="114300" distR="114300" simplePos="0" relativeHeight="251661312" behindDoc="1" locked="0" layoutInCell="1" allowOverlap="1">
              <wp:simplePos x="0" y="0"/>
              <wp:positionH relativeFrom="column">
                <wp:posOffset>-883920</wp:posOffset>
              </wp:positionH>
              <wp:positionV relativeFrom="paragraph">
                <wp:posOffset>1905</wp:posOffset>
              </wp:positionV>
              <wp:extent cx="7755255" cy="584835"/>
              <wp:effectExtent l="0" t="0" r="12065" b="1905"/>
              <wp:wrapTight wrapText="bothSides">
                <wp:wrapPolygon>
                  <wp:start x="0" y="0"/>
                  <wp:lineTo x="0" y="21154"/>
                  <wp:lineTo x="21400" y="21154"/>
                  <wp:lineTo x="21400" y="0"/>
                  <wp:lineTo x="0" y="0"/>
                </wp:wrapPolygon>
              </wp:wrapTight>
              <wp:docPr id="1" name="矩形 40"/>
              <wp:cNvGraphicFramePr/>
              <a:graphic xmlns:a="http://schemas.openxmlformats.org/drawingml/2006/main">
                <a:graphicData uri="http://schemas.microsoft.com/office/word/2010/wordprocessingShape">
                  <wps:wsp>
                    <wps:cNvSpPr>
                      <a:spLocks noChangeArrowheads="1"/>
                    </wps:cNvSpPr>
                    <wps:spPr bwMode="auto">
                      <a:xfrm>
                        <a:off x="0" y="0"/>
                        <a:ext cx="7755255" cy="584835"/>
                      </a:xfrm>
                      <a:prstGeom prst="rect">
                        <a:avLst/>
                      </a:prstGeom>
                      <a:solidFill>
                        <a:srgbClr val="AF0D1C">
                          <a:alpha val="85001"/>
                        </a:srgbClr>
                      </a:solidFill>
                      <a:ln>
                        <a:noFill/>
                      </a:ln>
                    </wps:spPr>
                    <wps:txbx>
                      <w:txbxContent>
                        <w:p w14:paraId="22F424DC"/>
                      </w:txbxContent>
                    </wps:txbx>
                    <wps:bodyPr rot="0" vert="horz" wrap="square" lIns="91440" tIns="45720" rIns="91440" bIns="45720" anchor="t" anchorCtr="0" upright="1">
                      <a:noAutofit/>
                    </wps:bodyPr>
                  </wps:wsp>
                </a:graphicData>
              </a:graphic>
            </wp:anchor>
          </w:drawing>
        </mc:Choice>
        <mc:Fallback>
          <w:pict>
            <v:rect id="矩形 40" o:spid="_x0000_s1026" o:spt="1" style="position:absolute;left:0pt;margin-left:-69.6pt;margin-top:0.15pt;height:46.05pt;width:610.65pt;mso-wrap-distance-left:9pt;mso-wrap-distance-right:9pt;z-index:-251655168;mso-width-relative:page;mso-height-relative:page;" fillcolor="#AF0D1C" filled="t" stroked="f" coordsize="21600,21600" wrapcoords="0 0 0 21154 21400 21154 21400 0 0 0" o:gfxdata="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ArsT1wAAAAkBAAAPAAAAAAAAAAEAIAAAACIAAABkcnMvZG93bnJldi54&#10;bWxQSwECFAAUAAAACACHTuJAic6tDDQCAABTBAAADgAAAAAAAAABACAAAAAmAQAAZHJzL2Uyb0Rv&#10;Yy54bWxQSwUGAAAAAAYABgBZAQAAzAUAAAAA&#10;">
              <v:fill on="t" opacity="55706f" focussize="0,0"/>
              <v:stroke on="f"/>
              <v:imagedata o:title=""/>
              <o:lock v:ext="edit" aspectratio="f"/>
              <v:textbox>
                <w:txbxContent>
                  <w:p w14:paraId="22F424DC"/>
                </w:txbxContent>
              </v:textbox>
              <w10:wrap type="tight"/>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5850255</wp:posOffset>
              </wp:positionH>
              <wp:positionV relativeFrom="paragraph">
                <wp:posOffset>228600</wp:posOffset>
              </wp:positionV>
              <wp:extent cx="381000" cy="198120"/>
              <wp:effectExtent l="1905" t="0" r="0" b="1905"/>
              <wp:wrapNone/>
              <wp:docPr id="3"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381000" cy="198120"/>
                      </a:xfrm>
                      <a:prstGeom prst="rect">
                        <a:avLst/>
                      </a:prstGeom>
                      <a:noFill/>
                      <a:ln>
                        <a:noFill/>
                      </a:ln>
                    </wps:spPr>
                    <wps:txbx>
                      <w:txbxContent>
                        <w:p w14:paraId="172BD77F">
                          <w:pPr>
                            <w:rPr>
                              <w:b/>
                              <w:color w:val="FFFFFF"/>
                              <w:szCs w:val="21"/>
                            </w:rPr>
                          </w:pPr>
                          <w:r>
                            <w:rPr>
                              <w:b/>
                              <w:color w:val="FFFFFF"/>
                              <w:szCs w:val="21"/>
                              <w:lang w:val="zh-CN"/>
                            </w:rPr>
                            <w:t xml:space="preserve"> </w:t>
                          </w: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2</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7</w:t>
                          </w:r>
                          <w:r>
                            <w:rPr>
                              <w:b/>
                              <w:color w:val="FFFFFF"/>
                              <w:szCs w:val="21"/>
                            </w:rPr>
                            <w:fldChar w:fldCharType="end"/>
                          </w:r>
                        </w:p>
                      </w:txbxContent>
                    </wps:txbx>
                    <wps:bodyPr rot="0" vert="horz" wrap="square" lIns="0" tIns="0" rIns="0" bIns="0" anchor="t" anchorCtr="0" upright="1">
                      <a:noAutofit/>
                    </wps:bodyPr>
                  </wps:wsp>
                </a:graphicData>
              </a:graphic>
            </wp:anchor>
          </w:drawing>
        </mc:Choice>
        <mc:Fallback>
          <w:pict>
            <v:shape id="文本框 25" o:spid="_x0000_s1026" o:spt="202" type="#_x0000_t202" style="position:absolute;left:0pt;margin-left:460.65pt;margin-top:18pt;height:15.6pt;width:30pt;mso-position-horizontal-relative:margin;z-index:251659264;mso-width-relative:page;mso-height-relative:page;" filled="f" stroked="f" coordsize="21600,21600" o:gfxdata="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I5VZNgAAAAJAQAADwAAAAAAAAABACAA&#10;AAAiAAAAZHJzL2Rvd25yZXYueG1sUEsBAhQAFAAAAAgAh07iQPw7SbQNAgAABQQAAA4AAAAAAAAA&#10;AQAgAAAAJwEAAGRycy9lMm9Eb2MueG1sUEsFBgAAAAAGAAYAWQEAAKYFAAAAAA==&#10;">
              <v:fill on="f" focussize="0,0"/>
              <v:stroke on="f"/>
              <v:imagedata o:title=""/>
              <o:lock v:ext="edit" aspectratio="f"/>
              <v:textbox inset="0mm,0mm,0mm,0mm">
                <w:txbxContent>
                  <w:p w14:paraId="172BD77F">
                    <w:pPr>
                      <w:rPr>
                        <w:b/>
                        <w:color w:val="FFFFFF"/>
                        <w:szCs w:val="21"/>
                      </w:rPr>
                    </w:pPr>
                    <w:r>
                      <w:rPr>
                        <w:b/>
                        <w:color w:val="FFFFFF"/>
                        <w:szCs w:val="21"/>
                        <w:lang w:val="zh-CN"/>
                      </w:rPr>
                      <w:t xml:space="preserve"> </w:t>
                    </w: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2</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7</w:t>
                    </w:r>
                    <w:r>
                      <w:rPr>
                        <w:b/>
                        <w:color w:val="FFFFFF"/>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8DFB">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2336" behindDoc="0" locked="0" layoutInCell="1" allowOverlap="1">
              <wp:simplePos x="0" y="0"/>
              <wp:positionH relativeFrom="column">
                <wp:posOffset>5121910</wp:posOffset>
              </wp:positionH>
              <wp:positionV relativeFrom="paragraph">
                <wp:posOffset>364490</wp:posOffset>
              </wp:positionV>
              <wp:extent cx="1166495" cy="415290"/>
              <wp:effectExtent l="0" t="2540" r="0" b="127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15290"/>
                      </a:xfrm>
                      <a:prstGeom prst="rect">
                        <a:avLst/>
                      </a:prstGeom>
                      <a:noFill/>
                      <a:ln>
                        <a:noFill/>
                      </a:ln>
                    </wps:spPr>
                    <wps:txbx>
                      <w:txbxContent>
                        <w:p w14:paraId="6CC2C6FE">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8.7pt;height:32.7pt;width:91.85pt;z-index:251662336;mso-width-relative:page;mso-height-relative:page;" filled="f" stroked="f" coordsize="21600,21600" o:gfxdata="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0EyUzXAAAACgEAAA8A&#10;AAAAAAAAAQAgAAAAIgAAAGRycy9kb3ducmV2LnhtbFBLAQIUABQAAAAIAIdO4kB7vKr8GAIAABUE&#10;AAAOAAAAAAAAAAEAIAAAACYBAABkcnMvZTJvRG9jLnhtbFBLBQYAAAAABgAGAFkBAACwBQAAAAA=&#10;">
              <v:fill on="f" focussize="0,0"/>
              <v:stroke on="f"/>
              <v:imagedata o:title=""/>
              <o:lock v:ext="edit" aspectratio="f"/>
              <v:textbox>
                <w:txbxContent>
                  <w:p w14:paraId="6CC2C6FE">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882650</wp:posOffset>
              </wp:positionH>
              <wp:positionV relativeFrom="paragraph">
                <wp:posOffset>-219710</wp:posOffset>
              </wp:positionV>
              <wp:extent cx="4453255" cy="788670"/>
              <wp:effectExtent l="0" t="0" r="0" b="2540"/>
              <wp:wrapNone/>
              <wp:docPr id="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4453255" cy="788670"/>
                      </a:xfrm>
                      <a:prstGeom prst="rect">
                        <a:avLst/>
                      </a:prstGeom>
                      <a:noFill/>
                      <a:ln>
                        <a:noFill/>
                      </a:ln>
                    </wps:spPr>
                    <wps:txbx>
                      <w:txbxContent>
                        <w:p w14:paraId="0EC702EB">
                          <w:pPr>
                            <w:spacing w:line="560" w:lineRule="exact"/>
                            <w:jc w:val="center"/>
                            <w:rPr>
                              <w:rFonts w:eastAsia="微软雅黑"/>
                              <w:b/>
                              <w:color w:val="FFFFFF"/>
                              <w:sz w:val="44"/>
                            </w:rPr>
                          </w:pPr>
                          <w:r>
                            <w:rPr>
                              <w:rFonts w:eastAsia="微软雅黑"/>
                              <w:b/>
                              <w:color w:val="FFFFFF"/>
                              <w:sz w:val="44"/>
                            </w:rPr>
                            <w:t>EHS专员全面技能提升</w:t>
                          </w:r>
                        </w:p>
                        <w:p w14:paraId="74146799">
                          <w:pPr>
                            <w:spacing w:line="560" w:lineRule="exact"/>
                            <w:jc w:val="center"/>
                            <w:rPr>
                              <w:rFonts w:eastAsia="微软雅黑"/>
                              <w:b/>
                              <w:color w:val="FFFFFF"/>
                              <w:sz w:val="44"/>
                            </w:rPr>
                          </w:pPr>
                          <w:r>
                            <w:rPr>
                              <w:rFonts w:eastAsia="微软雅黑"/>
                              <w:b/>
                              <w:color w:val="FFFFFF"/>
                              <w:sz w:val="44"/>
                            </w:rPr>
                            <w:t>（环境/健康/零事故安全生产）</w:t>
                          </w:r>
                        </w:p>
                      </w:txbxContent>
                    </wps:txbx>
                    <wps:bodyPr rot="0" vert="horz" wrap="square" lIns="91440" tIns="45720" rIns="91440" bIns="45720" anchor="t" anchorCtr="0" upright="1">
                      <a:noAutofit/>
                    </wps:bodyPr>
                  </wps:wsp>
                </a:graphicData>
              </a:graphic>
            </wp:anchor>
          </w:drawing>
        </mc:Choice>
        <mc:Fallback>
          <w:pict>
            <v:shape id="文本框 66" o:spid="_x0000_s1026" o:spt="202" type="#_x0000_t202" style="position:absolute;left:0pt;margin-left:69.5pt;margin-top:-17.3pt;height:62.1pt;width:350.65pt;z-index:251663360;mso-width-relative:page;mso-height-relative:page;" filled="f" stroked="f" coordsize="21600,21600" o:gfxdata="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DdvV2AAAAAoBAAAP&#10;AAAAAAAAAAEAIAAAACIAAABkcnMvZG93bnJldi54bWxQSwECFAAUAAAACACHTuJAx87l5RgCAAAW&#10;BAAADgAAAAAAAAABACAAAAAnAQAAZHJzL2Uyb0RvYy54bWxQSwUGAAAAAAYABgBZAQAAsQUAAAAA&#10;">
              <v:fill on="f" focussize="0,0"/>
              <v:stroke on="f"/>
              <v:imagedata o:title=""/>
              <o:lock v:ext="edit" aspectratio="f"/>
              <v:textbox>
                <w:txbxContent>
                  <w:p w14:paraId="0EC702EB">
                    <w:pPr>
                      <w:spacing w:line="560" w:lineRule="exact"/>
                      <w:jc w:val="center"/>
                      <w:rPr>
                        <w:rFonts w:eastAsia="微软雅黑"/>
                        <w:b/>
                        <w:color w:val="FFFFFF"/>
                        <w:sz w:val="44"/>
                      </w:rPr>
                    </w:pPr>
                    <w:r>
                      <w:rPr>
                        <w:rFonts w:eastAsia="微软雅黑"/>
                        <w:b/>
                        <w:color w:val="FFFFFF"/>
                        <w:sz w:val="44"/>
                      </w:rPr>
                      <w:t>EHS专员全面技能提升</w:t>
                    </w:r>
                  </w:p>
                  <w:p w14:paraId="74146799">
                    <w:pPr>
                      <w:spacing w:line="560" w:lineRule="exact"/>
                      <w:jc w:val="center"/>
                      <w:rPr>
                        <w:rFonts w:eastAsia="微软雅黑"/>
                        <w:b/>
                        <w:color w:val="FFFFFF"/>
                        <w:sz w:val="44"/>
                      </w:rPr>
                    </w:pPr>
                    <w:r>
                      <w:rPr>
                        <w:rFonts w:eastAsia="微软雅黑"/>
                        <w:b/>
                        <w:color w:val="FFFFFF"/>
                        <w:sz w:val="44"/>
                      </w:rPr>
                      <w:t>（环境/健康/零事故安全生产）</w:t>
                    </w:r>
                  </w:p>
                </w:txbxContent>
              </v:textbox>
            </v:shape>
          </w:pict>
        </mc:Fallback>
      </mc:AlternateContent>
    </w:r>
    <w:r>
      <w:rPr>
        <w:sz w:val="24"/>
      </w:rPr>
      <mc:AlternateContent>
        <mc:Choice Requires="wps">
          <w:drawing>
            <wp:anchor distT="0" distB="0" distL="114300" distR="114300" simplePos="0" relativeHeight="251660288"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2CD7EC62"/>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6192;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2CD7EC62"/>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1A6C9"/>
    <w:multiLevelType w:val="singleLevel"/>
    <w:tmpl w:val="9CA1A6C9"/>
    <w:lvl w:ilvl="0" w:tentative="0">
      <w:start w:val="1"/>
      <w:numFmt w:val="bullet"/>
      <w:lvlText w:val=""/>
      <w:lvlJc w:val="left"/>
      <w:pPr>
        <w:ind w:left="420" w:hanging="420"/>
      </w:pPr>
      <w:rPr>
        <w:rFonts w:hint="default" w:ascii="Wingdings" w:hAnsi="Wingdings"/>
      </w:rPr>
    </w:lvl>
  </w:abstractNum>
  <w:abstractNum w:abstractNumId="1">
    <w:nsid w:val="A141B0A7"/>
    <w:multiLevelType w:val="singleLevel"/>
    <w:tmpl w:val="A141B0A7"/>
    <w:lvl w:ilvl="0" w:tentative="0">
      <w:start w:val="1"/>
      <w:numFmt w:val="bullet"/>
      <w:lvlText w:val=""/>
      <w:lvlJc w:val="left"/>
      <w:pPr>
        <w:ind w:left="420" w:hanging="420"/>
      </w:pPr>
      <w:rPr>
        <w:rFonts w:hint="default" w:ascii="Wingdings" w:hAnsi="Wingdings"/>
      </w:rPr>
    </w:lvl>
  </w:abstractNum>
  <w:abstractNum w:abstractNumId="2">
    <w:nsid w:val="A6EE3931"/>
    <w:multiLevelType w:val="singleLevel"/>
    <w:tmpl w:val="A6EE3931"/>
    <w:lvl w:ilvl="0" w:tentative="0">
      <w:start w:val="1"/>
      <w:numFmt w:val="bullet"/>
      <w:lvlText w:val=""/>
      <w:lvlJc w:val="left"/>
      <w:pPr>
        <w:ind w:left="420" w:hanging="420"/>
      </w:pPr>
      <w:rPr>
        <w:rFonts w:hint="default" w:ascii="Wingdings" w:hAnsi="Wingdings"/>
      </w:rPr>
    </w:lvl>
  </w:abstractNum>
  <w:abstractNum w:abstractNumId="3">
    <w:nsid w:val="B31D13AD"/>
    <w:multiLevelType w:val="singleLevel"/>
    <w:tmpl w:val="B31D13AD"/>
    <w:lvl w:ilvl="0" w:tentative="0">
      <w:start w:val="1"/>
      <w:numFmt w:val="bullet"/>
      <w:lvlText w:val=""/>
      <w:lvlJc w:val="left"/>
      <w:pPr>
        <w:ind w:left="420" w:hanging="420"/>
      </w:pPr>
      <w:rPr>
        <w:rFonts w:hint="default" w:ascii="Wingdings" w:hAnsi="Wingdings"/>
      </w:rPr>
    </w:lvl>
  </w:abstractNum>
  <w:abstractNum w:abstractNumId="4">
    <w:nsid w:val="D9C8B222"/>
    <w:multiLevelType w:val="singleLevel"/>
    <w:tmpl w:val="D9C8B222"/>
    <w:lvl w:ilvl="0" w:tentative="0">
      <w:start w:val="1"/>
      <w:numFmt w:val="bullet"/>
      <w:lvlText w:val=""/>
      <w:lvlJc w:val="left"/>
      <w:pPr>
        <w:ind w:left="420" w:hanging="420"/>
      </w:pPr>
      <w:rPr>
        <w:rFonts w:hint="default" w:ascii="Wingdings" w:hAnsi="Wingdings"/>
      </w:rPr>
    </w:lvl>
  </w:abstractNum>
  <w:abstractNum w:abstractNumId="5">
    <w:nsid w:val="E4CC5491"/>
    <w:multiLevelType w:val="singleLevel"/>
    <w:tmpl w:val="E4CC5491"/>
    <w:lvl w:ilvl="0" w:tentative="0">
      <w:start w:val="1"/>
      <w:numFmt w:val="bullet"/>
      <w:lvlText w:val=""/>
      <w:lvlJc w:val="left"/>
      <w:pPr>
        <w:ind w:left="420" w:hanging="420"/>
      </w:pPr>
      <w:rPr>
        <w:rFonts w:hint="default" w:ascii="Wingdings" w:hAnsi="Wingdings"/>
      </w:rPr>
    </w:lvl>
  </w:abstractNum>
  <w:abstractNum w:abstractNumId="6">
    <w:nsid w:val="EF6CF069"/>
    <w:multiLevelType w:val="singleLevel"/>
    <w:tmpl w:val="EF6CF069"/>
    <w:lvl w:ilvl="0" w:tentative="0">
      <w:start w:val="1"/>
      <w:numFmt w:val="bullet"/>
      <w:lvlText w:val=""/>
      <w:lvlJc w:val="left"/>
      <w:pPr>
        <w:ind w:left="420" w:hanging="420"/>
      </w:pPr>
      <w:rPr>
        <w:rFonts w:hint="default" w:ascii="Wingdings" w:hAnsi="Wingdings"/>
      </w:rPr>
    </w:lvl>
  </w:abstractNum>
  <w:abstractNum w:abstractNumId="7">
    <w:nsid w:val="F1A564D2"/>
    <w:multiLevelType w:val="singleLevel"/>
    <w:tmpl w:val="F1A564D2"/>
    <w:lvl w:ilvl="0" w:tentative="0">
      <w:start w:val="1"/>
      <w:numFmt w:val="bullet"/>
      <w:lvlText w:val=""/>
      <w:lvlJc w:val="left"/>
      <w:pPr>
        <w:ind w:left="420" w:hanging="420"/>
      </w:pPr>
      <w:rPr>
        <w:rFonts w:hint="default" w:ascii="Wingdings" w:hAnsi="Wingdings"/>
      </w:rPr>
    </w:lvl>
  </w:abstractNum>
  <w:abstractNum w:abstractNumId="8">
    <w:nsid w:val="078C296B"/>
    <w:multiLevelType w:val="multilevel"/>
    <w:tmpl w:val="078C296B"/>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46C1BBD"/>
    <w:multiLevelType w:val="multilevel"/>
    <w:tmpl w:val="146C1BBD"/>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9143A2C"/>
    <w:multiLevelType w:val="multilevel"/>
    <w:tmpl w:val="19143A2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2A717C4F"/>
    <w:multiLevelType w:val="multilevel"/>
    <w:tmpl w:val="2A717C4F"/>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A830EDD"/>
    <w:multiLevelType w:val="multilevel"/>
    <w:tmpl w:val="2A830EDD"/>
    <w:lvl w:ilvl="0" w:tentative="0">
      <w:start w:val="1"/>
      <w:numFmt w:val="decimal"/>
      <w:lvlText w:val="%1."/>
      <w:lvlJc w:val="left"/>
      <w:pPr>
        <w:ind w:left="420" w:hanging="420"/>
      </w:pPr>
      <w:rPr>
        <w:rFonts w:hint="default"/>
      </w:rPr>
    </w:lvl>
    <w:lvl w:ilvl="1" w:tentative="0">
      <w:start w:val="0"/>
      <w:numFmt w:val="bullet"/>
      <w:lvlText w:val="◆"/>
      <w:lvlJc w:val="left"/>
      <w:pPr>
        <w:ind w:left="780" w:hanging="360"/>
      </w:pPr>
      <w:rPr>
        <w:rFonts w:hint="eastAsia" w:ascii="宋体" w:hAnsi="宋体" w:eastAsia="宋体" w:cs="宋体"/>
      </w:rPr>
    </w:lvl>
    <w:lvl w:ilvl="2" w:tentative="0">
      <w:start w:val="0"/>
      <w:numFmt w:val="bullet"/>
      <w:lvlText w:val="◇"/>
      <w:lvlJc w:val="left"/>
      <w:pPr>
        <w:ind w:left="1200" w:hanging="360"/>
      </w:pPr>
      <w:rPr>
        <w:rFonts w:hint="eastAsia" w:ascii="宋体" w:hAnsi="宋体" w:eastAsia="宋体" w:cs="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656ABA6"/>
    <w:multiLevelType w:val="singleLevel"/>
    <w:tmpl w:val="5656ABA6"/>
    <w:lvl w:ilvl="0" w:tentative="0">
      <w:start w:val="1"/>
      <w:numFmt w:val="bullet"/>
      <w:lvlText w:val=""/>
      <w:lvlJc w:val="left"/>
      <w:pPr>
        <w:tabs>
          <w:tab w:val="left" w:pos="420"/>
        </w:tabs>
        <w:ind w:left="420" w:hanging="420"/>
      </w:pPr>
      <w:rPr>
        <w:rFonts w:hint="default" w:ascii="Wingdings" w:hAnsi="Wingdings"/>
      </w:rPr>
    </w:lvl>
  </w:abstractNum>
  <w:abstractNum w:abstractNumId="15">
    <w:nsid w:val="719A02AE"/>
    <w:multiLevelType w:val="multilevel"/>
    <w:tmpl w:val="719A02A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B7E528D"/>
    <w:multiLevelType w:val="multilevel"/>
    <w:tmpl w:val="7B7E528D"/>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14"/>
  </w:num>
  <w:num w:numId="3">
    <w:abstractNumId w:val="9"/>
  </w:num>
  <w:num w:numId="4">
    <w:abstractNumId w:val="6"/>
  </w:num>
  <w:num w:numId="5">
    <w:abstractNumId w:val="12"/>
  </w:num>
  <w:num w:numId="6">
    <w:abstractNumId w:val="2"/>
  </w:num>
  <w:num w:numId="7">
    <w:abstractNumId w:val="0"/>
  </w:num>
  <w:num w:numId="8">
    <w:abstractNumId w:val="8"/>
  </w:num>
  <w:num w:numId="9">
    <w:abstractNumId w:val="1"/>
  </w:num>
  <w:num w:numId="10">
    <w:abstractNumId w:val="11"/>
  </w:num>
  <w:num w:numId="11">
    <w:abstractNumId w:val="4"/>
  </w:num>
  <w:num w:numId="12">
    <w:abstractNumId w:val="16"/>
  </w:num>
  <w:num w:numId="13">
    <w:abstractNumId w:val="7"/>
  </w:num>
  <w:num w:numId="14">
    <w:abstractNumId w:val="15"/>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2ExOGY5NDQxYmM1NmJlNzk5NmNiZmE0OWVkNTYifQ=="/>
  </w:docVars>
  <w:rsids>
    <w:rsidRoot w:val="00172A27"/>
    <w:rsid w:val="0000341B"/>
    <w:rsid w:val="000045FC"/>
    <w:rsid w:val="00032913"/>
    <w:rsid w:val="00093C81"/>
    <w:rsid w:val="000975DB"/>
    <w:rsid w:val="000E2464"/>
    <w:rsid w:val="00124800"/>
    <w:rsid w:val="00160F0B"/>
    <w:rsid w:val="001713C0"/>
    <w:rsid w:val="00172A27"/>
    <w:rsid w:val="00185D35"/>
    <w:rsid w:val="001F290A"/>
    <w:rsid w:val="001F4B85"/>
    <w:rsid w:val="00216A52"/>
    <w:rsid w:val="00261CDF"/>
    <w:rsid w:val="00263ED8"/>
    <w:rsid w:val="00287DC4"/>
    <w:rsid w:val="002A3556"/>
    <w:rsid w:val="002B6DCD"/>
    <w:rsid w:val="002F4A04"/>
    <w:rsid w:val="00322E6B"/>
    <w:rsid w:val="00336015"/>
    <w:rsid w:val="00340F5D"/>
    <w:rsid w:val="003536C6"/>
    <w:rsid w:val="003A7F64"/>
    <w:rsid w:val="003B704C"/>
    <w:rsid w:val="003D2CA4"/>
    <w:rsid w:val="00407BC8"/>
    <w:rsid w:val="00410FBB"/>
    <w:rsid w:val="00412D35"/>
    <w:rsid w:val="00432EC4"/>
    <w:rsid w:val="004809F5"/>
    <w:rsid w:val="004C4048"/>
    <w:rsid w:val="004D2282"/>
    <w:rsid w:val="00562617"/>
    <w:rsid w:val="00581986"/>
    <w:rsid w:val="00590E2A"/>
    <w:rsid w:val="005A055D"/>
    <w:rsid w:val="005B0872"/>
    <w:rsid w:val="005C07D5"/>
    <w:rsid w:val="005C5B51"/>
    <w:rsid w:val="00613749"/>
    <w:rsid w:val="00661C73"/>
    <w:rsid w:val="0067197A"/>
    <w:rsid w:val="00694734"/>
    <w:rsid w:val="006A7F22"/>
    <w:rsid w:val="006B3C93"/>
    <w:rsid w:val="006E2A46"/>
    <w:rsid w:val="007070B4"/>
    <w:rsid w:val="0073452C"/>
    <w:rsid w:val="007B5D60"/>
    <w:rsid w:val="007C278B"/>
    <w:rsid w:val="008256AA"/>
    <w:rsid w:val="00843CE6"/>
    <w:rsid w:val="0085594E"/>
    <w:rsid w:val="00857E8B"/>
    <w:rsid w:val="008657CD"/>
    <w:rsid w:val="0087177B"/>
    <w:rsid w:val="00874842"/>
    <w:rsid w:val="00877927"/>
    <w:rsid w:val="008F48EE"/>
    <w:rsid w:val="00914261"/>
    <w:rsid w:val="00962777"/>
    <w:rsid w:val="00970572"/>
    <w:rsid w:val="00970FAF"/>
    <w:rsid w:val="009E13AC"/>
    <w:rsid w:val="00A32A72"/>
    <w:rsid w:val="00A3303F"/>
    <w:rsid w:val="00A577C5"/>
    <w:rsid w:val="00A63DFF"/>
    <w:rsid w:val="00AA0A7C"/>
    <w:rsid w:val="00AA1FE3"/>
    <w:rsid w:val="00AD2BD8"/>
    <w:rsid w:val="00AD7231"/>
    <w:rsid w:val="00AE0C5B"/>
    <w:rsid w:val="00B0202D"/>
    <w:rsid w:val="00B05875"/>
    <w:rsid w:val="00B65527"/>
    <w:rsid w:val="00B926D7"/>
    <w:rsid w:val="00BB38C5"/>
    <w:rsid w:val="00BB5318"/>
    <w:rsid w:val="00BF3FF3"/>
    <w:rsid w:val="00C036BE"/>
    <w:rsid w:val="00C2209E"/>
    <w:rsid w:val="00C61BE0"/>
    <w:rsid w:val="00C854FC"/>
    <w:rsid w:val="00CF40C1"/>
    <w:rsid w:val="00CF41C1"/>
    <w:rsid w:val="00D04645"/>
    <w:rsid w:val="00DA0B52"/>
    <w:rsid w:val="00DA0B56"/>
    <w:rsid w:val="00DA70BC"/>
    <w:rsid w:val="00DA7D09"/>
    <w:rsid w:val="00DB3EDE"/>
    <w:rsid w:val="00DD6868"/>
    <w:rsid w:val="00DE5D01"/>
    <w:rsid w:val="00E20002"/>
    <w:rsid w:val="00E97F3E"/>
    <w:rsid w:val="00ED08EB"/>
    <w:rsid w:val="00ED6F56"/>
    <w:rsid w:val="00F05B6D"/>
    <w:rsid w:val="00F236BE"/>
    <w:rsid w:val="00F271E9"/>
    <w:rsid w:val="00F95D21"/>
    <w:rsid w:val="00FA0F24"/>
    <w:rsid w:val="00FA5C70"/>
    <w:rsid w:val="00FD4819"/>
    <w:rsid w:val="00FE7DC1"/>
    <w:rsid w:val="017621F9"/>
    <w:rsid w:val="025501D9"/>
    <w:rsid w:val="05385EA6"/>
    <w:rsid w:val="07D70922"/>
    <w:rsid w:val="0958526D"/>
    <w:rsid w:val="09BD6B8A"/>
    <w:rsid w:val="09F23CE8"/>
    <w:rsid w:val="0AFA120A"/>
    <w:rsid w:val="0C110ABC"/>
    <w:rsid w:val="0C3537FB"/>
    <w:rsid w:val="0C7F1C11"/>
    <w:rsid w:val="0F2E22AB"/>
    <w:rsid w:val="107F18A9"/>
    <w:rsid w:val="10F20DDB"/>
    <w:rsid w:val="12183A8E"/>
    <w:rsid w:val="128431F0"/>
    <w:rsid w:val="13EB653A"/>
    <w:rsid w:val="14F67573"/>
    <w:rsid w:val="159B6280"/>
    <w:rsid w:val="17C77B0F"/>
    <w:rsid w:val="19574DA2"/>
    <w:rsid w:val="19AC120C"/>
    <w:rsid w:val="1B7D79D2"/>
    <w:rsid w:val="1BE31B4D"/>
    <w:rsid w:val="1D533889"/>
    <w:rsid w:val="1D5522D4"/>
    <w:rsid w:val="1E8F4FAF"/>
    <w:rsid w:val="1EB00B68"/>
    <w:rsid w:val="1F8C08F2"/>
    <w:rsid w:val="21D04826"/>
    <w:rsid w:val="22B07346"/>
    <w:rsid w:val="23AB191E"/>
    <w:rsid w:val="24B30F5E"/>
    <w:rsid w:val="25D10AE5"/>
    <w:rsid w:val="25E40DB9"/>
    <w:rsid w:val="26FA7220"/>
    <w:rsid w:val="275C1C24"/>
    <w:rsid w:val="286B0F53"/>
    <w:rsid w:val="29110139"/>
    <w:rsid w:val="297561D3"/>
    <w:rsid w:val="2B32788A"/>
    <w:rsid w:val="2B683643"/>
    <w:rsid w:val="2BFE25AD"/>
    <w:rsid w:val="2C484B1E"/>
    <w:rsid w:val="2CE0731C"/>
    <w:rsid w:val="2D021266"/>
    <w:rsid w:val="2D1C2F78"/>
    <w:rsid w:val="2DDD43CD"/>
    <w:rsid w:val="2E2627B5"/>
    <w:rsid w:val="2E4A06F4"/>
    <w:rsid w:val="327C0F63"/>
    <w:rsid w:val="331F61ED"/>
    <w:rsid w:val="338E3C6C"/>
    <w:rsid w:val="352765C3"/>
    <w:rsid w:val="35BE11FB"/>
    <w:rsid w:val="36331012"/>
    <w:rsid w:val="390A2655"/>
    <w:rsid w:val="3CAF11F3"/>
    <w:rsid w:val="3DA4799F"/>
    <w:rsid w:val="3EB31986"/>
    <w:rsid w:val="4077339B"/>
    <w:rsid w:val="426D4684"/>
    <w:rsid w:val="44BC5F98"/>
    <w:rsid w:val="459B1F40"/>
    <w:rsid w:val="46295027"/>
    <w:rsid w:val="469D17EC"/>
    <w:rsid w:val="46BF20A2"/>
    <w:rsid w:val="47606B0B"/>
    <w:rsid w:val="47FC3417"/>
    <w:rsid w:val="49612AC8"/>
    <w:rsid w:val="4ABC313C"/>
    <w:rsid w:val="4AF30483"/>
    <w:rsid w:val="4CBB2F60"/>
    <w:rsid w:val="4FDC618E"/>
    <w:rsid w:val="559646C4"/>
    <w:rsid w:val="56245862"/>
    <w:rsid w:val="564B6B40"/>
    <w:rsid w:val="56DC5010"/>
    <w:rsid w:val="573B510F"/>
    <w:rsid w:val="57A63BE7"/>
    <w:rsid w:val="58556DFB"/>
    <w:rsid w:val="58A1423A"/>
    <w:rsid w:val="59D4430D"/>
    <w:rsid w:val="5F9F3570"/>
    <w:rsid w:val="605B3923"/>
    <w:rsid w:val="60832368"/>
    <w:rsid w:val="61154893"/>
    <w:rsid w:val="618371CB"/>
    <w:rsid w:val="61B21CE6"/>
    <w:rsid w:val="61B26E0F"/>
    <w:rsid w:val="62F05CEE"/>
    <w:rsid w:val="634459FB"/>
    <w:rsid w:val="65F22DF8"/>
    <w:rsid w:val="66A27570"/>
    <w:rsid w:val="66B35C38"/>
    <w:rsid w:val="68211269"/>
    <w:rsid w:val="685B471E"/>
    <w:rsid w:val="68926F62"/>
    <w:rsid w:val="6896041E"/>
    <w:rsid w:val="695E7BE1"/>
    <w:rsid w:val="6A2A6341"/>
    <w:rsid w:val="6A5C6141"/>
    <w:rsid w:val="6C666467"/>
    <w:rsid w:val="6D694AFE"/>
    <w:rsid w:val="6D7A78B9"/>
    <w:rsid w:val="6FA4093E"/>
    <w:rsid w:val="713472B0"/>
    <w:rsid w:val="71B4365D"/>
    <w:rsid w:val="723536EF"/>
    <w:rsid w:val="73325A96"/>
    <w:rsid w:val="745436E9"/>
    <w:rsid w:val="75D60C7F"/>
    <w:rsid w:val="769E4528"/>
    <w:rsid w:val="781A4D19"/>
    <w:rsid w:val="7ACE03F8"/>
    <w:rsid w:val="7B9F58E0"/>
    <w:rsid w:val="7CCF01D0"/>
    <w:rsid w:val="7DA65A6F"/>
    <w:rsid w:val="7DDC3A2D"/>
    <w:rsid w:val="7E212EDA"/>
    <w:rsid w:val="7E6C6CF7"/>
    <w:rsid w:val="7F6015C4"/>
    <w:rsid w:val="7F6D75EE"/>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qFormat/>
    <w:uiPriority w:val="0"/>
    <w:rPr>
      <w:sz w:val="21"/>
    </w:rPr>
  </w:style>
  <w:style w:type="character" w:customStyle="1" w:styleId="24">
    <w:name w:val="页脚 Char"/>
    <w:link w:val="11"/>
    <w:qFormat/>
    <w:uiPriority w:val="99"/>
    <w:rPr>
      <w:kern w:val="2"/>
      <w:sz w:val="18"/>
    </w:rPr>
  </w:style>
  <w:style w:type="character" w:customStyle="1" w:styleId="25">
    <w:name w:val="9a1"/>
    <w:qFormat/>
    <w:uiPriority w:val="0"/>
  </w:style>
  <w:style w:type="character" w:customStyle="1" w:styleId="26">
    <w:name w:val="9pt21"/>
    <w:qFormat/>
    <w:uiPriority w:val="0"/>
    <w:rPr>
      <w:color w:val="333333"/>
      <w:sz w:val="18"/>
    </w:rPr>
  </w:style>
  <w:style w:type="paragraph" w:customStyle="1" w:styleId="27">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28">
    <w:name w:val="Normal_2"/>
    <w:basedOn w:val="1"/>
    <w:qFormat/>
    <w:uiPriority w:val="0"/>
    <w:pPr>
      <w:spacing w:line="360" w:lineRule="exact"/>
    </w:pPr>
    <w:rPr>
      <w:sz w:val="24"/>
    </w:rPr>
  </w:style>
  <w:style w:type="paragraph" w:customStyle="1" w:styleId="29">
    <w:name w:val="列出段落1"/>
    <w:basedOn w:val="1"/>
    <w:qFormat/>
    <w:uiPriority w:val="34"/>
    <w:pPr>
      <w:ind w:firstLine="420" w:firstLineChars="200"/>
    </w:pPr>
    <w:rPr>
      <w:rFonts w:ascii="Calibri" w:hAnsi="Calibri"/>
      <w:szCs w:val="22"/>
    </w:rPr>
  </w:style>
  <w:style w:type="paragraph" w:customStyle="1" w:styleId="30">
    <w:name w:val="列出段落2"/>
    <w:basedOn w:val="1"/>
    <w:qFormat/>
    <w:uiPriority w:val="0"/>
    <w:pPr>
      <w:ind w:firstLine="420" w:firstLineChars="200"/>
    </w:pPr>
  </w:style>
  <w:style w:type="paragraph" w:customStyle="1" w:styleId="31">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32">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customStyle="1" w:styleId="33">
    <w:name w:val="Char Char1 Char Char Char Char Char Char"/>
    <w:basedOn w:val="1"/>
    <w:qFormat/>
    <w:uiPriority w:val="0"/>
    <w:pPr>
      <w:widowControl/>
      <w:spacing w:after="160" w:line="240" w:lineRule="exact"/>
      <w:jc w:val="left"/>
    </w:pPr>
  </w:style>
  <w:style w:type="character" w:customStyle="1" w:styleId="34">
    <w:name w:val="style24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3460</Words>
  <Characters>3583</Characters>
  <Lines>26</Lines>
  <Paragraphs>7</Paragraphs>
  <TotalTime>92</TotalTime>
  <ScaleCrop>false</ScaleCrop>
  <LinksUpToDate>false</LinksUpToDate>
  <CharactersWithSpaces>3605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2024-09-19T05:44:00Z</dcterms:created>
  <dc:creator>ssiwyj</dc:creator>
  <cp:lastModifiedBy>Yan</cp:lastModifiedBy>
  <cp:lastPrinted>2024-10-09T09:25:00Z</cp:lastPrinted>
  <dcterms:modified xsi:type="dcterms:W3CDTF">2025-08-06T06:37:50Z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09C8F1DB4DCB4C64ABF1810B8938238B_13</vt:lpwstr>
  </property>
</Properties>
</file>