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7168AE9">
      <w:pPr>
        <w:spacing w:line="480" w:lineRule="exact"/>
        <w:rPr>
          <w:rFonts w:eastAsia="微软雅黑"/>
          <w:b/>
          <w:color w:val="000000"/>
          <w:szCs w:val="21"/>
        </w:rPr>
      </w:pPr>
      <w:bookmarkStart w:id="2" w:name="_GoBack"/>
      <w:bookmarkEnd w:id="2"/>
      <w:r>
        <w:rPr>
          <w:rFonts w:eastAsia="微软雅黑"/>
          <w:b/>
          <w:color w:val="C00000"/>
          <w:sz w:val="24"/>
          <w:szCs w:val="24"/>
          <w14:shadow w14:blurRad="50800" w14:dist="38100" w14:dir="2700000" w14:sx="100000" w14:sy="100000" w14:kx="0" w14:ky="0" w14:algn="tl">
            <w14:srgbClr w14:val="000000">
              <w14:alpha w14:val="60000"/>
            </w14:srgbClr>
          </w14:shadow>
        </w:rPr>
        <w:t>培训时间/地点：</w:t>
      </w:r>
      <w:r>
        <w:rPr>
          <w:rFonts w:eastAsia="微软雅黑"/>
          <w:b/>
          <w:color w:val="000000"/>
          <w:szCs w:val="21"/>
        </w:rPr>
        <w:t>202</w:t>
      </w:r>
      <w:r>
        <w:rPr>
          <w:rFonts w:hint="eastAsia" w:eastAsia="微软雅黑"/>
          <w:b/>
          <w:color w:val="000000"/>
          <w:szCs w:val="21"/>
          <w:lang w:val="en-US" w:eastAsia="zh-CN"/>
        </w:rPr>
        <w:t>5</w:t>
      </w:r>
      <w:r>
        <w:rPr>
          <w:rFonts w:eastAsia="微软雅黑"/>
          <w:b/>
          <w:color w:val="000000"/>
          <w:szCs w:val="21"/>
        </w:rPr>
        <w:t>年</w:t>
      </w:r>
      <w:r>
        <w:rPr>
          <w:rFonts w:hint="eastAsia" w:eastAsia="微软雅黑"/>
          <w:b/>
          <w:color w:val="000000"/>
          <w:szCs w:val="21"/>
          <w:lang w:val="en-US" w:eastAsia="zh-CN"/>
        </w:rPr>
        <w:t>7</w:t>
      </w:r>
      <w:r>
        <w:rPr>
          <w:rFonts w:eastAsia="微软雅黑"/>
          <w:b/>
          <w:color w:val="000000"/>
          <w:szCs w:val="21"/>
        </w:rPr>
        <w:t>月</w:t>
      </w:r>
      <w:r>
        <w:rPr>
          <w:rFonts w:hint="eastAsia" w:eastAsia="微软雅黑"/>
          <w:b/>
          <w:color w:val="000000"/>
          <w:szCs w:val="21"/>
          <w:lang w:val="en-US" w:eastAsia="zh-CN"/>
        </w:rPr>
        <w:t>16</w:t>
      </w:r>
      <w:r>
        <w:rPr>
          <w:rFonts w:eastAsia="微软雅黑"/>
          <w:b/>
          <w:color w:val="000000"/>
          <w:szCs w:val="21"/>
        </w:rPr>
        <w:t>~</w:t>
      </w:r>
      <w:r>
        <w:rPr>
          <w:rFonts w:hint="eastAsia" w:eastAsia="微软雅黑"/>
          <w:b/>
          <w:color w:val="000000"/>
          <w:szCs w:val="21"/>
          <w:lang w:val="en-US" w:eastAsia="zh-CN"/>
        </w:rPr>
        <w:t>18</w:t>
      </w:r>
      <w:r>
        <w:rPr>
          <w:rFonts w:eastAsia="微软雅黑"/>
          <w:b/>
          <w:color w:val="000000"/>
          <w:szCs w:val="21"/>
        </w:rPr>
        <w:t>日（星期三 ~ 星期五）/上 海</w:t>
      </w:r>
    </w:p>
    <w:p w14:paraId="333FA40E">
      <w:pPr>
        <w:spacing w:line="480" w:lineRule="exact"/>
        <w:rPr>
          <w:rFonts w:eastAsia="微软雅黑"/>
          <w:b/>
          <w:szCs w:val="21"/>
        </w:rPr>
      </w:pPr>
      <w:r>
        <w:rPr>
          <w:rFonts w:eastAsia="微软雅黑"/>
          <w:b/>
          <w:color w:val="C00000"/>
          <w:sz w:val="24"/>
          <w:szCs w:val="24"/>
          <w14:shadow w14:blurRad="50800" w14:dist="38100" w14:dir="2700000" w14:sx="100000" w14:sy="100000" w14:kx="0" w14:ky="0" w14:algn="tl">
            <w14:srgbClr w14:val="000000">
              <w14:alpha w14:val="60000"/>
            </w14:srgbClr>
          </w14:shadow>
        </w:rPr>
        <w:t>收费标准：</w:t>
      </w:r>
      <w:r>
        <w:rPr>
          <w:rFonts w:eastAsia="微软雅黑"/>
          <w:b/>
          <w:szCs w:val="21"/>
        </w:rPr>
        <w:t>￥4000/人</w:t>
      </w:r>
    </w:p>
    <w:p w14:paraId="3DB4E42A">
      <w:pPr>
        <w:numPr>
          <w:ilvl w:val="0"/>
          <w:numId w:val="1"/>
        </w:numPr>
        <w:spacing w:line="480" w:lineRule="exact"/>
        <w:ind w:left="426" w:hanging="426"/>
        <w:rPr>
          <w:rFonts w:eastAsia="微软雅黑"/>
        </w:rPr>
      </w:pPr>
      <w:r>
        <w:rPr>
          <w:rFonts w:eastAsia="微软雅黑"/>
        </w:rPr>
        <w:t>含授课费、证书费、资料费、午餐费、茶点费、会务费、税费</w:t>
      </w:r>
    </w:p>
    <w:p w14:paraId="5A25C449">
      <w:pPr>
        <w:numPr>
          <w:ilvl w:val="0"/>
          <w:numId w:val="1"/>
        </w:numPr>
        <w:spacing w:line="480" w:lineRule="exact"/>
        <w:ind w:left="426" w:hanging="426"/>
        <w:rPr>
          <w:rFonts w:eastAsia="微软雅黑"/>
        </w:rPr>
      </w:pPr>
      <w:r>
        <w:rPr>
          <w:rFonts w:eastAsia="微软雅黑"/>
        </w:rPr>
        <w:t>不包含学员往返培训场地的交通费用、住宿费用、早餐及晚餐</w:t>
      </w:r>
    </w:p>
    <w:p w14:paraId="7EB68056">
      <w:pPr>
        <w:spacing w:line="480" w:lineRule="exact"/>
        <w:rPr>
          <w:rFonts w:eastAsia="微软雅黑"/>
          <w:b/>
          <w:color w:val="C00000"/>
          <w:sz w:val="24"/>
          <w:szCs w:val="24"/>
          <w14:shadow w14:blurRad="50800" w14:dist="38100" w14:dir="2700000" w14:sx="100000" w14:sy="100000" w14:kx="0" w14:ky="0" w14:algn="tl">
            <w14:srgbClr w14:val="000000">
              <w14:alpha w14:val="60000"/>
            </w14:srgbClr>
          </w14:shadow>
        </w:rPr>
      </w:pPr>
      <w:r>
        <w:rPr>
          <w:rFonts w:eastAsia="微软雅黑"/>
          <w:b/>
          <w:color w:val="C00000"/>
          <w:sz w:val="24"/>
          <w:szCs w:val="24"/>
          <w14:shadow w14:blurRad="50800" w14:dist="38100" w14:dir="2700000" w14:sx="100000" w14:sy="100000" w14:kx="0" w14:ky="0" w14:algn="tl">
            <w14:srgbClr w14:val="000000">
              <w14:alpha w14:val="60000"/>
            </w14:srgbClr>
          </w14:shadow>
        </w:rPr>
        <w:t>课程介绍：</w:t>
      </w:r>
    </w:p>
    <w:p w14:paraId="75E4C54D">
      <w:pPr>
        <w:spacing w:line="480" w:lineRule="exact"/>
        <w:ind w:firstLine="420" w:firstLineChars="200"/>
        <w:rPr>
          <w:rFonts w:eastAsia="微软雅黑"/>
          <w:color w:val="000000"/>
          <w:szCs w:val="21"/>
        </w:rPr>
      </w:pPr>
      <w:r>
        <w:rPr>
          <w:rFonts w:eastAsia="微软雅黑"/>
          <w:color w:val="000000"/>
          <w:szCs w:val="21"/>
        </w:rPr>
        <w:t>模塑作为一个特殊的工艺过程，由于产品设计、材料特性、模具设计和制造、成型工艺、设备和生产环境的复杂性和过程控制的不确定性，长期以来一直是汽车零部件制造的薄弱环节之一，并在很大程度上直接导致最终产品质量的波动和存在召回的风险。</w:t>
      </w:r>
    </w:p>
    <w:p w14:paraId="127102C6">
      <w:pPr>
        <w:spacing w:line="480" w:lineRule="exact"/>
        <w:ind w:firstLine="420" w:firstLineChars="200"/>
        <w:rPr>
          <w:rFonts w:eastAsia="微软雅黑"/>
          <w:color w:val="000000"/>
          <w:szCs w:val="21"/>
        </w:rPr>
      </w:pPr>
      <w:r>
        <w:rPr>
          <w:rFonts w:eastAsia="微软雅黑"/>
          <w:color w:val="000000"/>
          <w:szCs w:val="21"/>
        </w:rPr>
        <w:t>美国汽车工业行动集团AIAG的特别工作小组（模塑工作组）2014年3月发布了《CQI-23特殊过程：模塑系统评审》（CQI-23 Special Process: Molding System Assessment）第一版标准，2023年2月发布了第二版标准。针对“注塑模塑、吹塑模塑（中空成型）、真空成型、压缩模塑、（树脂，热固性）传递模塑、挤制（挤出成型）、设备（过程控制和检测设备）、零件检查和测试”规定了评审要求。</w:t>
      </w:r>
    </w:p>
    <w:p w14:paraId="51031318">
      <w:pPr>
        <w:spacing w:line="480" w:lineRule="exact"/>
        <w:ind w:firstLine="420" w:firstLineChars="200"/>
        <w:rPr>
          <w:rFonts w:eastAsia="微软雅黑"/>
          <w:color w:val="000000"/>
          <w:szCs w:val="21"/>
        </w:rPr>
      </w:pPr>
      <w:r>
        <w:rPr>
          <w:rFonts w:eastAsia="微软雅黑"/>
          <w:color w:val="000000"/>
          <w:szCs w:val="21"/>
        </w:rPr>
        <w:t>CQI-23模塑系统评审的目标是开发一个模塑管理系统，以提供持续改进，强调缺陷预防和减少供应链中的变差和浪费。</w:t>
      </w:r>
    </w:p>
    <w:p w14:paraId="7CAE4521">
      <w:pPr>
        <w:spacing w:line="480" w:lineRule="exact"/>
        <w:ind w:firstLine="420" w:firstLineChars="200"/>
        <w:rPr>
          <w:rFonts w:eastAsia="微软雅黑"/>
          <w:color w:val="000000"/>
          <w:szCs w:val="21"/>
        </w:rPr>
      </w:pPr>
      <w:r>
        <w:rPr>
          <w:rFonts w:eastAsia="微软雅黑"/>
          <w:color w:val="000000"/>
          <w:szCs w:val="21"/>
        </w:rPr>
        <w:t>CQI-23模塑系统评审，结合国际公认的质量管理体系和适用的客户特定要求，定义了模塑管理系统的基本要求。</w:t>
      </w:r>
    </w:p>
    <w:p w14:paraId="6A17B58D">
      <w:pPr>
        <w:spacing w:line="480" w:lineRule="exact"/>
        <w:ind w:firstLine="420" w:firstLineChars="200"/>
        <w:rPr>
          <w:rFonts w:eastAsia="微软雅黑"/>
          <w:color w:val="000000"/>
          <w:szCs w:val="21"/>
        </w:rPr>
      </w:pPr>
      <w:r>
        <w:rPr>
          <w:rFonts w:eastAsia="微软雅黑"/>
          <w:color w:val="000000"/>
          <w:szCs w:val="21"/>
        </w:rPr>
        <w:t>CQI-23模塑系统评审旨在为汽车生产件和服务件组织提供一个模塑管理系统的通用方法。</w:t>
      </w:r>
    </w:p>
    <w:p w14:paraId="5F0D641B">
      <w:pPr>
        <w:spacing w:line="480" w:lineRule="exact"/>
        <w:ind w:firstLine="420" w:firstLineChars="200"/>
        <w:rPr>
          <w:rFonts w:eastAsia="微软雅黑"/>
          <w:color w:val="000000"/>
          <w:szCs w:val="21"/>
        </w:rPr>
      </w:pPr>
      <w:r>
        <w:rPr>
          <w:rFonts w:eastAsia="微软雅黑"/>
          <w:color w:val="000000"/>
          <w:szCs w:val="21"/>
        </w:rPr>
        <w:t>CQI-23模塑系统评审可用于评审一个组织满足本标准中的要求的能力，以及满足客户、监管机构和组织自身的要求的能力。模塑系统评审也可以在组织和供应商之间使用。</w:t>
      </w:r>
    </w:p>
    <w:p w14:paraId="37B94EBE">
      <w:pPr>
        <w:spacing w:line="480" w:lineRule="exact"/>
        <w:ind w:firstLine="420" w:firstLineChars="200"/>
        <w:rPr>
          <w:rFonts w:eastAsia="微软雅黑"/>
          <w:b/>
          <w:color w:val="C00000"/>
          <w:sz w:val="24"/>
          <w:szCs w:val="24"/>
          <w14:shadow w14:blurRad="50800" w14:dist="38100" w14:dir="2700000" w14:sx="100000" w14:sy="100000" w14:kx="0" w14:ky="0" w14:algn="tl">
            <w14:srgbClr w14:val="000000">
              <w14:alpha w14:val="60000"/>
            </w14:srgbClr>
          </w14:shadow>
        </w:rPr>
      </w:pPr>
      <w:r>
        <w:rPr>
          <w:rFonts w:eastAsia="微软雅黑"/>
          <w:color w:val="000000"/>
          <w:szCs w:val="21"/>
        </w:rPr>
        <w:t>《IATF 16949-2016汽车行业质量管理体系》的条款“8.2.3.1.2顾客指定的特殊特性”中规定“组织应在特殊特性的指定、批准文件及控制方面符合顾客要求。”；“9.2.2.3制造过程审核”条款、附录B以及IATF网站上提供的各主机厂的CSR（Customer Specific Requirements顾客特殊要求）中都明确规定了汽车行业供应链中的厂商必须按AIAG的《CQI-23特殊过程：模塑系统评审》标准来对模塑这一特殊过程进行内部评审及对供应商进行第二方评审。</w:t>
      </w:r>
    </w:p>
    <w:p w14:paraId="0AB45B38">
      <w:pPr>
        <w:spacing w:line="480" w:lineRule="exact"/>
        <w:rPr>
          <w:rFonts w:eastAsia="微软雅黑"/>
          <w:b/>
          <w:color w:val="C00000"/>
          <w:sz w:val="24"/>
          <w:szCs w:val="24"/>
          <w14:shadow w14:blurRad="50800" w14:dist="38100" w14:dir="2700000" w14:sx="100000" w14:sy="100000" w14:kx="0" w14:ky="0" w14:algn="tl">
            <w14:srgbClr w14:val="000000">
              <w14:alpha w14:val="60000"/>
            </w14:srgbClr>
          </w14:shadow>
        </w:rPr>
      </w:pPr>
      <w:r>
        <w:rPr>
          <w:rFonts w:eastAsia="微软雅黑"/>
          <w:b/>
          <w:color w:val="C00000"/>
          <w:sz w:val="24"/>
          <w:szCs w:val="24"/>
          <w14:shadow w14:blurRad="50800" w14:dist="38100" w14:dir="2700000" w14:sx="100000" w14:sy="100000" w14:kx="0" w14:ky="0" w14:algn="tl">
            <w14:srgbClr w14:val="000000">
              <w14:alpha w14:val="60000"/>
            </w14:srgbClr>
          </w14:shadow>
        </w:rPr>
        <w:t>课程收益：</w:t>
      </w:r>
    </w:p>
    <w:p w14:paraId="61CBDAD0">
      <w:pPr>
        <w:numPr>
          <w:ilvl w:val="0"/>
          <w:numId w:val="1"/>
        </w:numPr>
        <w:spacing w:line="480" w:lineRule="exact"/>
        <w:rPr>
          <w:rFonts w:eastAsia="微软雅黑"/>
        </w:rPr>
      </w:pPr>
      <w:r>
        <w:rPr>
          <w:rFonts w:eastAsia="微软雅黑"/>
        </w:rPr>
        <w:t>全面了解《CQI-23特殊过程：模塑系统评审》第二版的标准要求；</w:t>
      </w:r>
    </w:p>
    <w:p w14:paraId="59A91A85">
      <w:pPr>
        <w:numPr>
          <w:ilvl w:val="0"/>
          <w:numId w:val="1"/>
        </w:numPr>
        <w:spacing w:line="480" w:lineRule="exact"/>
        <w:rPr>
          <w:rFonts w:eastAsia="微软雅黑"/>
        </w:rPr>
      </w:pPr>
      <w:r>
        <w:rPr>
          <w:rFonts w:eastAsia="微软雅黑"/>
        </w:rPr>
        <w:t>获得有效建立模塑管理系统的思路和方法；</w:t>
      </w:r>
    </w:p>
    <w:p w14:paraId="3856CCAE">
      <w:pPr>
        <w:numPr>
          <w:ilvl w:val="0"/>
          <w:numId w:val="1"/>
        </w:numPr>
        <w:spacing w:line="480" w:lineRule="exact"/>
        <w:rPr>
          <w:rFonts w:eastAsia="微软雅黑"/>
        </w:rPr>
      </w:pPr>
      <w:r>
        <w:rPr>
          <w:rFonts w:eastAsia="微软雅黑"/>
        </w:rPr>
        <w:t xml:space="preserve">掌握运用PDCA过程方法有效实施CQI-23审核的审核技巧； </w:t>
      </w:r>
    </w:p>
    <w:p w14:paraId="482DE15A">
      <w:pPr>
        <w:numPr>
          <w:ilvl w:val="0"/>
          <w:numId w:val="1"/>
        </w:numPr>
        <w:spacing w:line="480" w:lineRule="exact"/>
        <w:rPr>
          <w:rFonts w:eastAsia="微软雅黑"/>
        </w:rPr>
      </w:pPr>
      <w:r>
        <w:rPr>
          <w:rFonts w:eastAsia="微软雅黑"/>
        </w:rPr>
        <w:t>提高对模塑产品和过程的风险意识，实施缺陷预防和持续改进，减少变差和浪费；</w:t>
      </w:r>
    </w:p>
    <w:p w14:paraId="18331A0F">
      <w:pPr>
        <w:numPr>
          <w:ilvl w:val="0"/>
          <w:numId w:val="1"/>
        </w:numPr>
        <w:spacing w:line="480" w:lineRule="exact"/>
        <w:rPr>
          <w:rFonts w:eastAsia="微软雅黑"/>
        </w:rPr>
      </w:pPr>
      <w:r>
        <w:rPr>
          <w:rFonts w:eastAsia="微软雅黑"/>
        </w:rPr>
        <w:t>借助于汽车行业IATF16949质量管理体系、五大工具、PDCA过程方法、8D报告等推荐的顾客方法和工具，全方位推进模塑组织管理水平的整体提升。</w:t>
      </w:r>
    </w:p>
    <w:p w14:paraId="19A12C6D">
      <w:pPr>
        <w:spacing w:line="480" w:lineRule="exact"/>
        <w:rPr>
          <w:rFonts w:eastAsia="微软雅黑"/>
          <w:b/>
          <w:color w:val="C00000"/>
          <w:sz w:val="24"/>
          <w:szCs w:val="24"/>
          <w14:shadow w14:blurRad="50800" w14:dist="38100" w14:dir="2700000" w14:sx="100000" w14:sy="100000" w14:kx="0" w14:ky="0" w14:algn="tl">
            <w14:srgbClr w14:val="000000">
              <w14:alpha w14:val="60000"/>
            </w14:srgbClr>
          </w14:shadow>
        </w:rPr>
      </w:pPr>
      <w:r>
        <w:rPr>
          <w:rFonts w:eastAsia="微软雅黑"/>
          <w:b/>
          <w:color w:val="C00000"/>
          <w:sz w:val="24"/>
          <w:szCs w:val="24"/>
          <w14:shadow w14:blurRad="50800" w14:dist="38100" w14:dir="2700000" w14:sx="100000" w14:sy="100000" w14:kx="0" w14:ky="0" w14:algn="tl">
            <w14:srgbClr w14:val="000000">
              <w14:alpha w14:val="60000"/>
            </w14:srgbClr>
          </w14:shadow>
        </w:rPr>
        <w:t>参训对象：</w:t>
      </w:r>
    </w:p>
    <w:p w14:paraId="5B79189D">
      <w:pPr>
        <w:numPr>
          <w:ilvl w:val="0"/>
          <w:numId w:val="1"/>
        </w:numPr>
        <w:spacing w:line="480" w:lineRule="exact"/>
        <w:rPr>
          <w:rFonts w:eastAsia="微软雅黑"/>
        </w:rPr>
      </w:pPr>
      <w:r>
        <w:rPr>
          <w:rFonts w:eastAsia="微软雅黑"/>
        </w:rPr>
        <w:t>企业内体系所有者、模塑负责人</w:t>
      </w:r>
    </w:p>
    <w:p w14:paraId="3C5315A2">
      <w:pPr>
        <w:numPr>
          <w:ilvl w:val="0"/>
          <w:numId w:val="1"/>
        </w:numPr>
        <w:spacing w:line="480" w:lineRule="exact"/>
        <w:rPr>
          <w:rFonts w:eastAsia="微软雅黑"/>
        </w:rPr>
      </w:pPr>
      <w:r>
        <w:rPr>
          <w:rFonts w:eastAsia="微软雅黑"/>
        </w:rPr>
        <w:t>模塑组织内部CQI-23审核员</w:t>
      </w:r>
    </w:p>
    <w:p w14:paraId="77CC5F6D">
      <w:pPr>
        <w:numPr>
          <w:ilvl w:val="0"/>
          <w:numId w:val="1"/>
        </w:numPr>
        <w:spacing w:line="480" w:lineRule="exact"/>
        <w:rPr>
          <w:rFonts w:eastAsia="微软雅黑"/>
        </w:rPr>
      </w:pPr>
      <w:r>
        <w:rPr>
          <w:rFonts w:eastAsia="微软雅黑"/>
        </w:rPr>
        <w:t>负责供应商审核（模塑过程外发制造）的 SQE或企业专职CQI-23外审员</w:t>
      </w:r>
    </w:p>
    <w:p w14:paraId="4263B964">
      <w:pPr>
        <w:numPr>
          <w:ilvl w:val="0"/>
          <w:numId w:val="1"/>
        </w:numPr>
        <w:spacing w:line="480" w:lineRule="exact"/>
        <w:rPr>
          <w:rFonts w:eastAsia="微软雅黑"/>
        </w:rPr>
      </w:pPr>
      <w:r>
        <w:rPr>
          <w:rFonts w:eastAsia="微软雅黑"/>
        </w:rPr>
        <w:t>模塑风险策划和管控的管理人员，如：模塑产品和模具开发人员、工艺工程师、质量管理人员、设备管理人员、模塑现场生产管理人员、班组长等</w:t>
      </w:r>
    </w:p>
    <w:p w14:paraId="10E35693">
      <w:pPr>
        <w:spacing w:line="480" w:lineRule="exact"/>
        <w:rPr>
          <w:rFonts w:eastAsia="微软雅黑"/>
          <w:b/>
          <w:color w:val="C00000"/>
          <w:sz w:val="24"/>
          <w:szCs w:val="24"/>
          <w14:shadow w14:blurRad="50800" w14:dist="38100" w14:dir="2700000" w14:sx="100000" w14:sy="100000" w14:kx="0" w14:ky="0" w14:algn="tl">
            <w14:srgbClr w14:val="000000">
              <w14:alpha w14:val="60000"/>
            </w14:srgbClr>
          </w14:shadow>
        </w:rPr>
      </w:pPr>
      <w:r>
        <w:rPr>
          <w:rFonts w:eastAsia="微软雅黑"/>
          <w:b/>
          <w:color w:val="C00000"/>
          <w:sz w:val="24"/>
          <w:szCs w:val="24"/>
          <w14:shadow w14:blurRad="50800" w14:dist="38100" w14:dir="2700000" w14:sx="100000" w14:sy="100000" w14:kx="0" w14:ky="0" w14:algn="tl">
            <w14:srgbClr w14:val="000000">
              <w14:alpha w14:val="60000"/>
            </w14:srgbClr>
          </w14:shadow>
        </w:rPr>
        <w:t>预备知识：</w:t>
      </w:r>
    </w:p>
    <w:p w14:paraId="7B2C30A0">
      <w:pPr>
        <w:numPr>
          <w:ilvl w:val="0"/>
          <w:numId w:val="1"/>
        </w:numPr>
        <w:spacing w:line="480" w:lineRule="exact"/>
        <w:rPr>
          <w:rFonts w:eastAsia="微软雅黑"/>
          <w:b/>
          <w:color w:val="000000"/>
        </w:rPr>
      </w:pPr>
      <w:r>
        <w:rPr>
          <w:rFonts w:eastAsia="微软雅黑"/>
          <w:b/>
          <w:color w:val="000000"/>
        </w:rPr>
        <w:t>有材料科学、模塑基础知识或相关模塑工作经验；</w:t>
      </w:r>
    </w:p>
    <w:p w14:paraId="5E2002EF">
      <w:pPr>
        <w:numPr>
          <w:ilvl w:val="0"/>
          <w:numId w:val="1"/>
        </w:numPr>
        <w:spacing w:line="480" w:lineRule="exact"/>
        <w:rPr>
          <w:rFonts w:eastAsia="微软雅黑"/>
          <w:b/>
          <w:color w:val="000000"/>
        </w:rPr>
      </w:pPr>
      <w:r>
        <w:rPr>
          <w:rFonts w:eastAsia="微软雅黑"/>
          <w:b/>
          <w:color w:val="000000"/>
        </w:rPr>
        <w:t>有ISO9001或IATF16949 质量管理体系知识；</w:t>
      </w:r>
    </w:p>
    <w:p w14:paraId="66309AFC">
      <w:pPr>
        <w:numPr>
          <w:ilvl w:val="0"/>
          <w:numId w:val="1"/>
        </w:numPr>
        <w:spacing w:line="480" w:lineRule="exact"/>
        <w:rPr>
          <w:rFonts w:eastAsia="微软雅黑"/>
          <w:b/>
          <w:color w:val="000000"/>
        </w:rPr>
      </w:pPr>
      <w:r>
        <w:rPr>
          <w:rFonts w:eastAsia="微软雅黑"/>
          <w:b/>
          <w:color w:val="000000"/>
        </w:rPr>
        <w:t>有汽车行业5大核心工具的学识和应用经验（APQP、PPAP、FMEA、SPC、MSA）。</w:t>
      </w:r>
    </w:p>
    <w:p w14:paraId="13602875">
      <w:pPr>
        <w:spacing w:line="480" w:lineRule="exact"/>
        <w:rPr>
          <w:rFonts w:eastAsia="微软雅黑"/>
          <w:b/>
          <w:color w:val="C00000"/>
          <w:sz w:val="24"/>
          <w:szCs w:val="24"/>
          <w14:shadow w14:blurRad="50800" w14:dist="38100" w14:dir="2700000" w14:sx="100000" w14:sy="100000" w14:kx="0" w14:ky="0" w14:algn="tl">
            <w14:srgbClr w14:val="000000">
              <w14:alpha w14:val="60000"/>
            </w14:srgbClr>
          </w14:shadow>
        </w:rPr>
      </w:pPr>
      <w:r>
        <w:rPr>
          <w:rFonts w:eastAsia="微软雅黑"/>
          <w:b/>
          <w:color w:val="C00000"/>
          <w:sz w:val="24"/>
          <w:szCs w:val="24"/>
          <w14:shadow w14:blurRad="50800" w14:dist="38100" w14:dir="2700000" w14:sx="100000" w14:sy="100000" w14:kx="0" w14:ky="0" w14:algn="tl">
            <w14:srgbClr w14:val="000000">
              <w14:alpha w14:val="60000"/>
            </w14:srgbClr>
          </w14:shadow>
        </w:rPr>
        <w:t>授课形式：</w:t>
      </w:r>
    </w:p>
    <w:p w14:paraId="38BE2B8E">
      <w:pPr>
        <w:spacing w:line="480" w:lineRule="exact"/>
        <w:ind w:firstLine="420" w:firstLineChars="200"/>
        <w:rPr>
          <w:rFonts w:eastAsia="微软雅黑"/>
        </w:rPr>
      </w:pPr>
      <w:r>
        <w:rPr>
          <w:rFonts w:eastAsia="微软雅黑"/>
        </w:rPr>
        <w:t>知识讲解、案例分析讨论、角色演练、小组讨论、互动交流、游戏感悟、头脑风暴、强调学员参与。</w:t>
      </w:r>
    </w:p>
    <w:p w14:paraId="4FFB79AF">
      <w:pPr>
        <w:spacing w:line="480" w:lineRule="exact"/>
        <w:rPr>
          <w:rFonts w:eastAsia="微软雅黑"/>
          <w:b/>
          <w:color w:val="C00000"/>
          <w:sz w:val="24"/>
          <w:szCs w:val="24"/>
          <w14:shadow w14:blurRad="50800" w14:dist="38100" w14:dir="2700000" w14:sx="100000" w14:sy="100000" w14:kx="0" w14:ky="0" w14:algn="tl">
            <w14:srgbClr w14:val="000000">
              <w14:alpha w14:val="60000"/>
            </w14:srgbClr>
          </w14:shadow>
        </w:rPr>
      </w:pPr>
      <w:r>
        <w:rPr>
          <w:rFonts w:eastAsia="微软雅黑"/>
          <w:b/>
          <w:color w:val="C00000"/>
          <w:sz w:val="24"/>
          <w:szCs w:val="24"/>
          <w14:shadow w14:blurRad="50800" w14:dist="38100" w14:dir="2700000" w14:sx="100000" w14:sy="100000" w14:kx="0" w14:ky="0" w14:algn="tl">
            <w14:srgbClr w14:val="000000">
              <w14:alpha w14:val="60000"/>
            </w14:srgbClr>
          </w14:shadow>
        </w:rPr>
        <w:br w:type="page"/>
      </w:r>
      <w:r>
        <w:rPr>
          <w:rFonts w:eastAsia="微软雅黑"/>
          <w:b/>
          <w:color w:val="C00000"/>
          <w:sz w:val="24"/>
          <w:szCs w:val="24"/>
          <w14:shadow w14:blurRad="50800" w14:dist="38100" w14:dir="2700000" w14:sx="100000" w14:sy="100000" w14:kx="0" w14:ky="0" w14:algn="tl">
            <w14:srgbClr w14:val="000000">
              <w14:alpha w14:val="60000"/>
            </w14:srgbClr>
          </w14:shadow>
        </w:rPr>
        <w:t>课程大纲：</w:t>
      </w:r>
    </w:p>
    <w:p w14:paraId="67A273AA">
      <w:pPr>
        <w:spacing w:line="480" w:lineRule="exact"/>
        <w:rPr>
          <w:rFonts w:eastAsia="微软雅黑"/>
          <w:b/>
          <w:color w:val="FF0000"/>
        </w:rPr>
      </w:pPr>
      <w:r>
        <w:rPr>
          <w:rFonts w:eastAsia="微软雅黑"/>
          <w:b/>
          <w:color w:val="FF0000"/>
        </w:rPr>
        <w:t>0 序言</w:t>
      </w:r>
    </w:p>
    <w:p w14:paraId="3AB9F593">
      <w:pPr>
        <w:spacing w:line="480" w:lineRule="exact"/>
        <w:ind w:left="210" w:leftChars="100"/>
        <w:rPr>
          <w:rFonts w:eastAsia="微软雅黑"/>
          <w:b/>
        </w:rPr>
      </w:pPr>
      <w:r>
        <w:rPr>
          <w:rFonts w:eastAsia="微软雅黑"/>
          <w:b/>
          <w:bCs/>
        </w:rPr>
        <w:t>0.1 培训目标</w:t>
      </w:r>
    </w:p>
    <w:p w14:paraId="3B1F3705">
      <w:pPr>
        <w:spacing w:line="480" w:lineRule="exact"/>
        <w:ind w:left="210" w:leftChars="100"/>
        <w:rPr>
          <w:rFonts w:eastAsia="微软雅黑"/>
          <w:b/>
        </w:rPr>
      </w:pPr>
      <w:r>
        <w:rPr>
          <w:rFonts w:eastAsia="微软雅黑"/>
          <w:b/>
          <w:bCs/>
        </w:rPr>
        <w:t>0.2 CQI-23培训建议参加对象</w:t>
      </w:r>
    </w:p>
    <w:p w14:paraId="3D62DB69">
      <w:pPr>
        <w:spacing w:line="480" w:lineRule="exact"/>
        <w:ind w:left="210" w:leftChars="100"/>
        <w:rPr>
          <w:rFonts w:eastAsia="微软雅黑"/>
          <w:b/>
          <w:bCs/>
        </w:rPr>
      </w:pPr>
      <w:r>
        <w:rPr>
          <w:rFonts w:eastAsia="微软雅黑"/>
          <w:b/>
          <w:bCs/>
        </w:rPr>
        <w:t>0.3 学员预备知识要求</w:t>
      </w:r>
    </w:p>
    <w:p w14:paraId="461095FF">
      <w:pPr>
        <w:spacing w:line="480" w:lineRule="exact"/>
        <w:rPr>
          <w:rFonts w:eastAsia="微软雅黑"/>
          <w:b/>
          <w:color w:val="FF0000"/>
        </w:rPr>
      </w:pPr>
      <w:r>
        <w:rPr>
          <w:rFonts w:eastAsia="微软雅黑"/>
          <w:b/>
          <w:color w:val="FF0000"/>
        </w:rPr>
        <w:t>1. 模塑基础知识</w:t>
      </w:r>
    </w:p>
    <w:p w14:paraId="7FF18234">
      <w:pPr>
        <w:spacing w:line="480" w:lineRule="exact"/>
        <w:ind w:left="210" w:leftChars="100"/>
        <w:rPr>
          <w:rFonts w:eastAsia="微软雅黑"/>
          <w:b/>
          <w:bCs/>
        </w:rPr>
      </w:pPr>
      <w:r>
        <w:rPr>
          <w:rFonts w:eastAsia="微软雅黑"/>
          <w:b/>
          <w:bCs/>
        </w:rPr>
        <w:t>1.1 塑料材料的性能及影响</w:t>
      </w:r>
    </w:p>
    <w:p w14:paraId="73D4A444">
      <w:pPr>
        <w:spacing w:line="480" w:lineRule="exact"/>
        <w:ind w:left="210" w:leftChars="100"/>
        <w:rPr>
          <w:rFonts w:eastAsia="微软雅黑"/>
          <w:b/>
          <w:bCs/>
        </w:rPr>
      </w:pPr>
      <w:r>
        <w:rPr>
          <w:rFonts w:eastAsia="微软雅黑"/>
          <w:b/>
          <w:bCs/>
        </w:rPr>
        <w:t>1.2 塑料的分类及制品</w:t>
      </w:r>
    </w:p>
    <w:p w14:paraId="558431A9">
      <w:pPr>
        <w:spacing w:line="480" w:lineRule="exact"/>
        <w:ind w:left="210" w:leftChars="100"/>
        <w:rPr>
          <w:rFonts w:eastAsia="微软雅黑"/>
          <w:b/>
          <w:bCs/>
        </w:rPr>
      </w:pPr>
      <w:r>
        <w:rPr>
          <w:rFonts w:eastAsia="微软雅黑"/>
          <w:b/>
          <w:bCs/>
        </w:rPr>
        <w:t>1.3 典型模塑工艺特点及选择</w:t>
      </w:r>
    </w:p>
    <w:p w14:paraId="337716AD">
      <w:pPr>
        <w:spacing w:line="480" w:lineRule="exact"/>
        <w:ind w:left="210" w:leftChars="100"/>
        <w:rPr>
          <w:rFonts w:eastAsia="微软雅黑"/>
          <w:b/>
          <w:bCs/>
        </w:rPr>
      </w:pPr>
      <w:r>
        <w:rPr>
          <w:rFonts w:eastAsia="微软雅黑"/>
          <w:b/>
          <w:bCs/>
        </w:rPr>
        <w:t>1.4 关键模塑性能指标及表现</w:t>
      </w:r>
    </w:p>
    <w:p w14:paraId="50CAB8E0">
      <w:pPr>
        <w:spacing w:line="480" w:lineRule="exact"/>
        <w:ind w:left="210" w:leftChars="100"/>
        <w:rPr>
          <w:rFonts w:eastAsia="微软雅黑"/>
          <w:b/>
          <w:bCs/>
        </w:rPr>
      </w:pPr>
      <w:r>
        <w:rPr>
          <w:rFonts w:eastAsia="微软雅黑"/>
          <w:b/>
          <w:bCs/>
        </w:rPr>
        <w:t>1.5 典型模塑参数的选择</w:t>
      </w:r>
    </w:p>
    <w:p w14:paraId="7036BF0B">
      <w:pPr>
        <w:spacing w:line="480" w:lineRule="exact"/>
        <w:ind w:left="210" w:leftChars="100"/>
        <w:rPr>
          <w:rFonts w:eastAsia="微软雅黑"/>
          <w:b/>
          <w:bCs/>
        </w:rPr>
      </w:pPr>
      <w:r>
        <w:rPr>
          <w:rFonts w:eastAsia="微软雅黑"/>
          <w:b/>
          <w:bCs/>
        </w:rPr>
        <w:t>1.6 典型模塑工艺及常见缺陷与原因分析</w:t>
      </w:r>
    </w:p>
    <w:p w14:paraId="0DFD908B">
      <w:pPr>
        <w:spacing w:line="480" w:lineRule="exact"/>
        <w:rPr>
          <w:rFonts w:eastAsia="微软雅黑"/>
          <w:b/>
          <w:color w:val="FF0000"/>
        </w:rPr>
      </w:pPr>
      <w:r>
        <w:rPr>
          <w:rFonts w:eastAsia="微软雅黑"/>
          <w:b/>
          <w:color w:val="FF0000"/>
        </w:rPr>
        <w:t>2. 质量体系五大工具简介和模塑工艺开发步骤</w:t>
      </w:r>
    </w:p>
    <w:p w14:paraId="34D7F0DE">
      <w:pPr>
        <w:pStyle w:val="35"/>
        <w:spacing w:line="480" w:lineRule="exact"/>
        <w:ind w:firstLine="210" w:firstLineChars="100"/>
        <w:rPr>
          <w:rFonts w:ascii="Times New Roman" w:hAnsi="Times New Roman" w:eastAsia="微软雅黑" w:cs="Times New Roman"/>
        </w:rPr>
      </w:pPr>
      <w:r>
        <w:rPr>
          <w:rFonts w:ascii="Times New Roman" w:hAnsi="Times New Roman" w:eastAsia="微软雅黑" w:cs="Times New Roman"/>
          <w:b/>
        </w:rPr>
        <w:t>2.1 五大工具简介</w:t>
      </w:r>
    </w:p>
    <w:p w14:paraId="6CF75495">
      <w:pPr>
        <w:spacing w:line="480" w:lineRule="exact"/>
        <w:ind w:firstLine="210" w:firstLineChars="100"/>
        <w:rPr>
          <w:rFonts w:eastAsia="微软雅黑"/>
          <w:b/>
        </w:rPr>
      </w:pPr>
      <w:r>
        <w:rPr>
          <w:rFonts w:eastAsia="微软雅黑"/>
          <w:b/>
        </w:rPr>
        <w:t>2.2 如何定义模塑产品系列、产品族</w:t>
      </w:r>
    </w:p>
    <w:p w14:paraId="6D531D93">
      <w:pPr>
        <w:spacing w:line="480" w:lineRule="exact"/>
        <w:ind w:firstLine="420" w:firstLineChars="200"/>
        <w:rPr>
          <w:rFonts w:eastAsia="微软雅黑"/>
          <w:b/>
          <w:color w:val="7030A0"/>
        </w:rPr>
      </w:pPr>
      <w:r>
        <w:rPr>
          <w:rFonts w:eastAsia="微软雅黑"/>
          <w:b/>
          <w:color w:val="7030A0"/>
        </w:rPr>
        <w:t>练习1 如何定义产品系列（产品族）</w:t>
      </w:r>
    </w:p>
    <w:p w14:paraId="055946D0">
      <w:pPr>
        <w:spacing w:line="480" w:lineRule="exact"/>
        <w:ind w:firstLine="210" w:firstLineChars="100"/>
        <w:rPr>
          <w:rFonts w:eastAsia="微软雅黑"/>
          <w:b/>
          <w:color w:val="FF0000"/>
        </w:rPr>
      </w:pPr>
      <w:r>
        <w:rPr>
          <w:rFonts w:eastAsia="微软雅黑"/>
          <w:b/>
        </w:rPr>
        <w:t>2.3 模塑工艺文件开发步骤</w:t>
      </w:r>
    </w:p>
    <w:p w14:paraId="16037A2C">
      <w:pPr>
        <w:spacing w:line="480" w:lineRule="exact"/>
        <w:rPr>
          <w:rFonts w:eastAsia="微软雅黑"/>
          <w:b/>
          <w:color w:val="FF0000"/>
        </w:rPr>
      </w:pPr>
      <w:r>
        <w:rPr>
          <w:rFonts w:eastAsia="微软雅黑"/>
          <w:b/>
          <w:color w:val="FF0000"/>
        </w:rPr>
        <w:t>3. CQI-23 标准实施必要性</w:t>
      </w:r>
    </w:p>
    <w:p w14:paraId="0FAE1CEE">
      <w:pPr>
        <w:spacing w:line="480" w:lineRule="exact"/>
        <w:ind w:firstLine="210" w:firstLineChars="100"/>
        <w:rPr>
          <w:rFonts w:eastAsia="微软雅黑"/>
          <w:b/>
        </w:rPr>
      </w:pPr>
      <w:r>
        <w:rPr>
          <w:rFonts w:eastAsia="微软雅黑"/>
          <w:b/>
        </w:rPr>
        <w:t>3.1 CQI-23 是顾客特殊要求</w:t>
      </w:r>
    </w:p>
    <w:p w14:paraId="304B0F10">
      <w:pPr>
        <w:spacing w:line="480" w:lineRule="exact"/>
        <w:ind w:firstLine="420" w:firstLineChars="200"/>
        <w:rPr>
          <w:rFonts w:eastAsia="微软雅黑"/>
          <w:b/>
          <w:color w:val="0070C0"/>
        </w:rPr>
      </w:pPr>
      <w:r>
        <w:rPr>
          <w:rFonts w:eastAsia="微软雅黑"/>
          <w:b/>
          <w:color w:val="0070C0"/>
        </w:rPr>
        <w:t>讨论1：模塑过程的主要特点</w:t>
      </w:r>
    </w:p>
    <w:p w14:paraId="054F92BF">
      <w:pPr>
        <w:spacing w:line="480" w:lineRule="exact"/>
        <w:ind w:firstLine="420" w:firstLineChars="200"/>
        <w:rPr>
          <w:rFonts w:eastAsia="微软雅黑"/>
          <w:b/>
          <w:color w:val="0070C0"/>
        </w:rPr>
      </w:pPr>
      <w:r>
        <w:rPr>
          <w:rFonts w:eastAsia="微软雅黑"/>
          <w:b/>
          <w:color w:val="0070C0"/>
        </w:rPr>
        <w:t>讨论2：什么是特殊过程？举例说明</w:t>
      </w:r>
    </w:p>
    <w:p w14:paraId="25112F84">
      <w:pPr>
        <w:spacing w:line="480" w:lineRule="exact"/>
        <w:ind w:firstLine="420" w:firstLineChars="200"/>
        <w:rPr>
          <w:rFonts w:eastAsia="微软雅黑"/>
          <w:b/>
          <w:color w:val="0070C0"/>
        </w:rPr>
      </w:pPr>
      <w:r>
        <w:rPr>
          <w:rFonts w:eastAsia="微软雅黑"/>
          <w:b/>
          <w:color w:val="0070C0"/>
        </w:rPr>
        <w:t>讨论3：什么是顾客特殊要求？</w:t>
      </w:r>
    </w:p>
    <w:p w14:paraId="4AD6ACBB">
      <w:pPr>
        <w:spacing w:line="480" w:lineRule="exact"/>
        <w:ind w:firstLine="210" w:firstLineChars="100"/>
        <w:rPr>
          <w:rFonts w:eastAsia="微软雅黑"/>
          <w:b/>
        </w:rPr>
      </w:pPr>
      <w:r>
        <w:rPr>
          <w:rFonts w:eastAsia="微软雅黑"/>
          <w:b/>
        </w:rPr>
        <w:t>3.2两种过程控制模型及其控制策略</w:t>
      </w:r>
    </w:p>
    <w:p w14:paraId="164C8E3A">
      <w:pPr>
        <w:spacing w:line="480" w:lineRule="exact"/>
        <w:rPr>
          <w:rFonts w:eastAsia="微软雅黑"/>
          <w:b/>
          <w:color w:val="FF0000"/>
        </w:rPr>
      </w:pPr>
      <w:r>
        <w:rPr>
          <w:rFonts w:eastAsia="微软雅黑"/>
          <w:b/>
          <w:color w:val="FF0000"/>
        </w:rPr>
        <w:t>4. CQI-23标准总体介绍</w:t>
      </w:r>
    </w:p>
    <w:p w14:paraId="16ADB6AE">
      <w:pPr>
        <w:spacing w:line="480" w:lineRule="exact"/>
        <w:ind w:firstLine="210" w:firstLineChars="100"/>
        <w:rPr>
          <w:rFonts w:eastAsia="微软雅黑"/>
          <w:b/>
        </w:rPr>
      </w:pPr>
      <w:r>
        <w:rPr>
          <w:rFonts w:eastAsia="微软雅黑"/>
          <w:b/>
        </w:rPr>
        <w:t>4.1 CQI-23 总体框架</w:t>
      </w:r>
    </w:p>
    <w:p w14:paraId="3C1B363E">
      <w:pPr>
        <w:spacing w:line="480" w:lineRule="exact"/>
        <w:ind w:firstLine="210" w:firstLineChars="100"/>
        <w:rPr>
          <w:rFonts w:hint="eastAsia" w:eastAsia="微软雅黑"/>
          <w:b/>
        </w:rPr>
      </w:pPr>
      <w:r>
        <w:rPr>
          <w:rFonts w:eastAsia="微软雅黑"/>
          <w:b/>
        </w:rPr>
        <w:t>4.2 CQI-23 简介</w:t>
      </w:r>
    </w:p>
    <w:p w14:paraId="1CAA3229">
      <w:pPr>
        <w:spacing w:line="480" w:lineRule="exact"/>
        <w:ind w:firstLine="210" w:firstLineChars="100"/>
        <w:rPr>
          <w:rFonts w:eastAsia="微软雅黑"/>
          <w:b/>
        </w:rPr>
      </w:pPr>
      <w:r>
        <w:rPr>
          <w:rFonts w:eastAsia="微软雅黑"/>
          <w:b/>
        </w:rPr>
        <w:t>4.3 CQI-23 应用范围</w:t>
      </w:r>
    </w:p>
    <w:p w14:paraId="0B88A750">
      <w:pPr>
        <w:spacing w:line="480" w:lineRule="exact"/>
        <w:ind w:firstLine="210" w:firstLineChars="100"/>
        <w:rPr>
          <w:rFonts w:eastAsia="微软雅黑"/>
          <w:b/>
        </w:rPr>
      </w:pPr>
      <w:r>
        <w:rPr>
          <w:rFonts w:eastAsia="微软雅黑"/>
          <w:b/>
        </w:rPr>
        <w:t>4.4 CQI-23 审核员资格要求</w:t>
      </w:r>
    </w:p>
    <w:p w14:paraId="1D04D2DC">
      <w:pPr>
        <w:spacing w:line="480" w:lineRule="exact"/>
        <w:ind w:firstLine="210" w:firstLineChars="100"/>
        <w:rPr>
          <w:rFonts w:eastAsia="微软雅黑"/>
          <w:b/>
        </w:rPr>
      </w:pPr>
      <w:r>
        <w:rPr>
          <w:rFonts w:eastAsia="微软雅黑"/>
          <w:b/>
        </w:rPr>
        <w:t>4.5 CQI-23 审核报告的构成</w:t>
      </w:r>
    </w:p>
    <w:p w14:paraId="55D97F6E">
      <w:pPr>
        <w:spacing w:line="480" w:lineRule="exact"/>
        <w:ind w:firstLine="210" w:firstLineChars="100"/>
        <w:rPr>
          <w:rFonts w:eastAsia="微软雅黑"/>
          <w:b/>
        </w:rPr>
      </w:pPr>
      <w:r>
        <w:rPr>
          <w:rFonts w:eastAsia="微软雅黑"/>
          <w:b/>
        </w:rPr>
        <w:t>4.6 IATF16949提到的基于PDCA和基于风险的过程方法</w:t>
      </w:r>
    </w:p>
    <w:p w14:paraId="492DA069">
      <w:pPr>
        <w:spacing w:line="480" w:lineRule="exact"/>
        <w:ind w:firstLine="420" w:firstLineChars="200"/>
        <w:rPr>
          <w:rFonts w:eastAsia="微软雅黑"/>
          <w:b/>
          <w:color w:val="7030A0"/>
        </w:rPr>
      </w:pPr>
      <w:r>
        <w:rPr>
          <w:rFonts w:eastAsia="微软雅黑"/>
          <w:b/>
          <w:color w:val="7030A0"/>
        </w:rPr>
        <w:t>练习2：过程分析—模塑生产过程乌龟图</w:t>
      </w:r>
    </w:p>
    <w:p w14:paraId="40ECDE6B">
      <w:pPr>
        <w:spacing w:line="480" w:lineRule="exact"/>
        <w:ind w:firstLine="210" w:firstLineChars="100"/>
        <w:rPr>
          <w:rFonts w:eastAsia="微软雅黑"/>
          <w:b/>
        </w:rPr>
      </w:pPr>
      <w:r>
        <w:rPr>
          <w:rFonts w:eastAsia="微软雅黑"/>
          <w:b/>
        </w:rPr>
        <w:t>4.7 运用过程方法进行CQI-23模塑系统评审程序</w:t>
      </w:r>
    </w:p>
    <w:p w14:paraId="3C185801">
      <w:pPr>
        <w:spacing w:line="480" w:lineRule="exact"/>
        <w:rPr>
          <w:rFonts w:eastAsia="微软雅黑"/>
          <w:b/>
          <w:bCs/>
          <w:color w:val="FF0000"/>
        </w:rPr>
      </w:pPr>
      <w:r>
        <w:rPr>
          <w:rFonts w:eastAsia="微软雅黑"/>
          <w:b/>
          <w:bCs/>
          <w:color w:val="FF0000"/>
        </w:rPr>
        <w:t>5. CQI-23 审核表格的填写</w:t>
      </w:r>
    </w:p>
    <w:p w14:paraId="451248AE">
      <w:pPr>
        <w:spacing w:line="480" w:lineRule="exact"/>
        <w:ind w:firstLine="210" w:firstLineChars="100"/>
        <w:rPr>
          <w:rFonts w:eastAsia="微软雅黑"/>
          <w:b/>
          <w:bCs/>
          <w:color w:val="000000" w:themeColor="text1"/>
          <w14:textFill>
            <w14:solidFill>
              <w14:schemeClr w14:val="tx1"/>
            </w14:solidFill>
          </w14:textFill>
        </w:rPr>
      </w:pPr>
      <w:r>
        <w:rPr>
          <w:rFonts w:eastAsia="微软雅黑"/>
          <w:b/>
          <w:bCs/>
          <w:color w:val="000000" w:themeColor="text1"/>
          <w14:textFill>
            <w14:solidFill>
              <w14:schemeClr w14:val="tx1"/>
            </w14:solidFill>
          </w14:textFill>
        </w:rPr>
        <w:t>5.1封面表的填写讲解</w:t>
      </w:r>
    </w:p>
    <w:p w14:paraId="2C0487F2">
      <w:pPr>
        <w:spacing w:line="480" w:lineRule="exact"/>
        <w:ind w:firstLine="210" w:firstLineChars="100"/>
        <w:rPr>
          <w:rFonts w:eastAsia="微软雅黑"/>
          <w:b/>
          <w:bCs/>
          <w:color w:val="000000" w:themeColor="text1"/>
          <w14:textFill>
            <w14:solidFill>
              <w14:schemeClr w14:val="tx1"/>
            </w14:solidFill>
          </w14:textFill>
        </w:rPr>
      </w:pPr>
      <w:r>
        <w:rPr>
          <w:rFonts w:eastAsia="微软雅黑"/>
          <w:b/>
          <w:bCs/>
          <w:color w:val="000000" w:themeColor="text1"/>
          <w14:textFill>
            <w14:solidFill>
              <w14:schemeClr w14:val="tx1"/>
            </w14:solidFill>
          </w14:textFill>
        </w:rPr>
        <w:t>5.2系统评审表（第1节、第2节）的讲解</w:t>
      </w:r>
    </w:p>
    <w:p w14:paraId="5B43E8E4">
      <w:pPr>
        <w:spacing w:line="480" w:lineRule="exact"/>
        <w:ind w:firstLine="420" w:firstLineChars="200"/>
        <w:rPr>
          <w:rFonts w:eastAsia="微软雅黑"/>
          <w:b/>
          <w:color w:val="000000" w:themeColor="text1"/>
          <w14:textFill>
            <w14:solidFill>
              <w14:schemeClr w14:val="tx1"/>
            </w14:solidFill>
          </w14:textFill>
        </w:rPr>
      </w:pPr>
      <w:r>
        <w:rPr>
          <w:rFonts w:eastAsia="微软雅黑"/>
          <w:b/>
          <w:bCs/>
          <w:color w:val="000000" w:themeColor="text1"/>
          <w14:textFill>
            <w14:solidFill>
              <w14:schemeClr w14:val="tx1"/>
            </w14:solidFill>
          </w14:textFill>
        </w:rPr>
        <w:t>5.2.1 系统评审表的填写方法说明</w:t>
      </w:r>
    </w:p>
    <w:p w14:paraId="3ECC155D">
      <w:pPr>
        <w:spacing w:line="480" w:lineRule="exact"/>
        <w:ind w:firstLine="420" w:firstLineChars="200"/>
        <w:rPr>
          <w:rFonts w:eastAsia="微软雅黑"/>
          <w:b/>
          <w:bCs/>
          <w:color w:val="000000" w:themeColor="text1"/>
          <w14:textFill>
            <w14:solidFill>
              <w14:schemeClr w14:val="tx1"/>
            </w14:solidFill>
          </w14:textFill>
        </w:rPr>
      </w:pPr>
      <w:r>
        <w:rPr>
          <w:rFonts w:eastAsia="微软雅黑"/>
          <w:b/>
          <w:bCs/>
          <w:color w:val="000000" w:themeColor="text1"/>
          <w14:textFill>
            <w14:solidFill>
              <w14:schemeClr w14:val="tx1"/>
            </w14:solidFill>
          </w14:textFill>
        </w:rPr>
        <w:t>5.2.2 第1节- 管理职责和质量策划（21大项）</w:t>
      </w:r>
      <w:bookmarkStart w:id="0" w:name="_Hlk143456027"/>
      <w:r>
        <w:rPr>
          <w:rFonts w:eastAsia="微软雅黑"/>
          <w:b/>
          <w:bCs/>
          <w:color w:val="000000" w:themeColor="text1"/>
          <w14:textFill>
            <w14:solidFill>
              <w14:schemeClr w14:val="tx1"/>
            </w14:solidFill>
          </w14:textFill>
        </w:rPr>
        <w:t>的详细解读</w:t>
      </w:r>
      <w:bookmarkEnd w:id="0"/>
    </w:p>
    <w:p w14:paraId="70A10E37">
      <w:pPr>
        <w:spacing w:line="480" w:lineRule="exact"/>
        <w:ind w:firstLine="420" w:firstLineChars="200"/>
        <w:rPr>
          <w:rFonts w:eastAsia="微软雅黑"/>
          <w:b/>
          <w:color w:val="000000" w:themeColor="text1"/>
          <w14:textFill>
            <w14:solidFill>
              <w14:schemeClr w14:val="tx1"/>
            </w14:solidFill>
          </w14:textFill>
        </w:rPr>
      </w:pPr>
      <w:r>
        <w:rPr>
          <w:rFonts w:eastAsia="微软雅黑"/>
          <w:b/>
          <w:bCs/>
          <w:color w:val="000000" w:themeColor="text1"/>
          <w14:textFill>
            <w14:solidFill>
              <w14:schemeClr w14:val="tx1"/>
            </w14:solidFill>
          </w14:textFill>
        </w:rPr>
        <w:t>5.2.3 第2节 场地和物料处理职责（14大项）的详细解读</w:t>
      </w:r>
    </w:p>
    <w:p w14:paraId="73AFB184">
      <w:pPr>
        <w:spacing w:line="480" w:lineRule="exact"/>
        <w:ind w:firstLine="210" w:firstLineChars="100"/>
        <w:rPr>
          <w:rFonts w:eastAsia="微软雅黑"/>
          <w:b/>
          <w:bCs/>
          <w:color w:val="000000" w:themeColor="text1"/>
          <w14:textFill>
            <w14:solidFill>
              <w14:schemeClr w14:val="tx1"/>
            </w14:solidFill>
          </w14:textFill>
        </w:rPr>
      </w:pPr>
      <w:r>
        <w:rPr>
          <w:rFonts w:eastAsia="微软雅黑"/>
          <w:b/>
          <w:bCs/>
          <w:color w:val="000000" w:themeColor="text1"/>
          <w14:textFill>
            <w14:solidFill>
              <w14:schemeClr w14:val="tx1"/>
            </w14:solidFill>
          </w14:textFill>
        </w:rPr>
        <w:t>5.3作业审核表的填写讲解</w:t>
      </w:r>
    </w:p>
    <w:p w14:paraId="104D75AF">
      <w:pPr>
        <w:spacing w:line="480" w:lineRule="exact"/>
        <w:ind w:firstLine="420" w:firstLineChars="200"/>
        <w:rPr>
          <w:rFonts w:eastAsia="微软雅黑"/>
          <w:b/>
          <w:bCs/>
          <w:color w:val="000000" w:themeColor="text1"/>
          <w14:textFill>
            <w14:solidFill>
              <w14:schemeClr w14:val="tx1"/>
            </w14:solidFill>
          </w14:textFill>
        </w:rPr>
      </w:pPr>
      <w:r>
        <w:rPr>
          <w:rFonts w:eastAsia="微软雅黑"/>
          <w:b/>
          <w:bCs/>
          <w:color w:val="000000" w:themeColor="text1"/>
          <w14:textFill>
            <w14:solidFill>
              <w14:schemeClr w14:val="tx1"/>
            </w14:solidFill>
          </w14:textFill>
        </w:rPr>
        <w:t>5.3.1作业审核表的填写方法说明</w:t>
      </w:r>
    </w:p>
    <w:p w14:paraId="499EE640">
      <w:pPr>
        <w:spacing w:line="480" w:lineRule="exact"/>
        <w:ind w:firstLine="420" w:firstLineChars="200"/>
        <w:rPr>
          <w:rFonts w:eastAsia="微软雅黑"/>
          <w:b/>
          <w:bCs/>
          <w:color w:val="000000" w:themeColor="text1"/>
          <w14:textFill>
            <w14:solidFill>
              <w14:schemeClr w14:val="tx1"/>
            </w14:solidFill>
          </w14:textFill>
        </w:rPr>
      </w:pPr>
      <w:r>
        <w:rPr>
          <w:rFonts w:eastAsia="微软雅黑"/>
          <w:b/>
          <w:bCs/>
          <w:color w:val="000000" w:themeColor="text1"/>
          <w14:textFill>
            <w14:solidFill>
              <w14:schemeClr w14:val="tx1"/>
            </w14:solidFill>
          </w14:textFill>
        </w:rPr>
        <w:t>5.3.2作业审核表的条款详细解读</w:t>
      </w:r>
    </w:p>
    <w:p w14:paraId="562E4D6F">
      <w:pPr>
        <w:spacing w:line="480" w:lineRule="exact"/>
        <w:ind w:firstLine="420" w:firstLineChars="200"/>
        <w:rPr>
          <w:rFonts w:eastAsia="微软雅黑"/>
          <w:b/>
          <w:bCs/>
          <w:color w:val="7030A0"/>
        </w:rPr>
      </w:pPr>
      <w:r>
        <w:rPr>
          <w:rFonts w:eastAsia="微软雅黑"/>
          <w:b/>
          <w:bCs/>
          <w:color w:val="7030A0"/>
        </w:rPr>
        <w:t>练习3：作业审核流程</w:t>
      </w:r>
    </w:p>
    <w:p w14:paraId="7B03FEAB">
      <w:pPr>
        <w:pStyle w:val="35"/>
        <w:spacing w:line="480" w:lineRule="exact"/>
        <w:ind w:firstLine="210" w:firstLineChars="100"/>
        <w:rPr>
          <w:rFonts w:ascii="Times New Roman" w:hAnsi="Times New Roman" w:eastAsia="微软雅黑" w:cs="Times New Roman"/>
        </w:rPr>
      </w:pPr>
      <w:r>
        <w:rPr>
          <w:rFonts w:ascii="Times New Roman" w:hAnsi="Times New Roman" w:eastAsia="微软雅黑" w:cs="Times New Roman"/>
          <w:b/>
          <w:bCs/>
          <w:color w:val="000000" w:themeColor="text1"/>
          <w14:textFill>
            <w14:solidFill>
              <w14:schemeClr w14:val="tx1"/>
            </w14:solidFill>
          </w14:textFill>
        </w:rPr>
        <w:t>5.4过程表的填写（8大类过程表A-H）讲解</w:t>
      </w:r>
    </w:p>
    <w:p w14:paraId="2E9507A5">
      <w:pPr>
        <w:spacing w:line="480" w:lineRule="exact"/>
        <w:ind w:left="210" w:leftChars="100" w:firstLine="630" w:firstLineChars="300"/>
        <w:rPr>
          <w:rFonts w:eastAsia="微软雅黑"/>
          <w:b/>
          <w:kern w:val="0"/>
          <w:szCs w:val="21"/>
        </w:rPr>
      </w:pPr>
      <w:r>
        <w:rPr>
          <w:rFonts w:eastAsia="微软雅黑"/>
          <w:b/>
          <w:kern w:val="0"/>
          <w:szCs w:val="21"/>
        </w:rPr>
        <w:t>过程表A—注塑模塑                  过程表B—吹塑模塑（中空成型）</w:t>
      </w:r>
    </w:p>
    <w:p w14:paraId="39FC0E1A">
      <w:pPr>
        <w:spacing w:line="480" w:lineRule="exact"/>
        <w:ind w:left="210" w:leftChars="100" w:firstLine="630" w:firstLineChars="300"/>
        <w:rPr>
          <w:rFonts w:eastAsia="微软雅黑"/>
          <w:b/>
          <w:kern w:val="0"/>
          <w:szCs w:val="21"/>
        </w:rPr>
      </w:pPr>
      <w:r>
        <w:rPr>
          <w:rFonts w:eastAsia="微软雅黑"/>
          <w:b/>
          <w:kern w:val="0"/>
          <w:szCs w:val="21"/>
        </w:rPr>
        <w:t>过程表C—真空成型                   过程表D—压缩模塑</w:t>
      </w:r>
    </w:p>
    <w:p w14:paraId="65E0E5C5">
      <w:pPr>
        <w:spacing w:line="480" w:lineRule="exact"/>
        <w:ind w:left="210" w:leftChars="100" w:firstLine="630" w:firstLineChars="300"/>
        <w:rPr>
          <w:rFonts w:eastAsia="微软雅黑"/>
          <w:b/>
          <w:kern w:val="0"/>
          <w:szCs w:val="21"/>
        </w:rPr>
      </w:pPr>
      <w:r>
        <w:rPr>
          <w:rFonts w:eastAsia="微软雅黑"/>
          <w:b/>
          <w:kern w:val="0"/>
          <w:szCs w:val="21"/>
        </w:rPr>
        <w:t>过程表E—树脂传递模塑（热固性）    过程表F—挤制（挤出成型）</w:t>
      </w:r>
    </w:p>
    <w:p w14:paraId="72B4572C">
      <w:pPr>
        <w:spacing w:line="480" w:lineRule="exact"/>
        <w:ind w:left="210" w:leftChars="100" w:firstLine="630" w:firstLineChars="300"/>
        <w:rPr>
          <w:rFonts w:eastAsia="微软雅黑"/>
          <w:b/>
          <w:kern w:val="0"/>
          <w:szCs w:val="21"/>
        </w:rPr>
      </w:pPr>
      <w:r>
        <w:rPr>
          <w:rFonts w:eastAsia="微软雅黑"/>
          <w:b/>
          <w:kern w:val="0"/>
          <w:szCs w:val="21"/>
        </w:rPr>
        <w:t>过程表G—设备（过程控制和检测设备）</w:t>
      </w:r>
    </w:p>
    <w:p w14:paraId="3B3253E6">
      <w:pPr>
        <w:spacing w:line="480" w:lineRule="exact"/>
        <w:ind w:left="210" w:leftChars="100" w:firstLine="630" w:firstLineChars="300"/>
        <w:rPr>
          <w:rFonts w:eastAsia="微软雅黑"/>
          <w:b/>
          <w:kern w:val="0"/>
          <w:szCs w:val="21"/>
        </w:rPr>
      </w:pPr>
      <w:r>
        <w:rPr>
          <w:rFonts w:eastAsia="微软雅黑"/>
          <w:b/>
          <w:kern w:val="0"/>
          <w:szCs w:val="21"/>
        </w:rPr>
        <w:t>过程表H—零件检查和测试</w:t>
      </w:r>
    </w:p>
    <w:p w14:paraId="3D6C5754">
      <w:pPr>
        <w:spacing w:line="480" w:lineRule="exact"/>
        <w:rPr>
          <w:rFonts w:eastAsia="微软雅黑"/>
          <w:b/>
          <w:color w:val="FF0000"/>
        </w:rPr>
      </w:pPr>
      <w:r>
        <w:rPr>
          <w:rFonts w:eastAsia="微软雅黑"/>
          <w:b/>
          <w:bCs/>
          <w:color w:val="FF0000"/>
        </w:rPr>
        <w:t>6. CQI-23运用过程方法的第二方审核评审思路</w:t>
      </w:r>
    </w:p>
    <w:p w14:paraId="725032EC">
      <w:pPr>
        <w:spacing w:line="480" w:lineRule="exact"/>
        <w:rPr>
          <w:rFonts w:eastAsia="微软雅黑"/>
          <w:b/>
          <w:color w:val="FF0000"/>
        </w:rPr>
      </w:pPr>
      <w:r>
        <w:rPr>
          <w:rFonts w:eastAsia="微软雅黑"/>
          <w:b/>
          <w:bCs/>
          <w:color w:val="FF0000"/>
        </w:rPr>
        <w:t xml:space="preserve">7. </w:t>
      </w:r>
      <w:r>
        <w:rPr>
          <w:rFonts w:eastAsia="微软雅黑"/>
          <w:b/>
          <w:color w:val="FF0000"/>
        </w:rPr>
        <w:t>评审过程中常见的不符合</w:t>
      </w:r>
    </w:p>
    <w:p w14:paraId="48125F14">
      <w:pPr>
        <w:widowControl/>
        <w:spacing w:line="480" w:lineRule="exact"/>
        <w:jc w:val="left"/>
        <w:rPr>
          <w:rFonts w:eastAsia="微软雅黑"/>
          <w:b/>
          <w:color w:val="C00000"/>
          <w:sz w:val="24"/>
          <w:szCs w:val="24"/>
          <w14:shadow w14:blurRad="50800" w14:dist="38100" w14:dir="2700000" w14:sx="100000" w14:sy="100000" w14:kx="0" w14:ky="0" w14:algn="tl">
            <w14:srgbClr w14:val="000000">
              <w14:alpha w14:val="60000"/>
            </w14:srgbClr>
          </w14:shadow>
        </w:rPr>
      </w:pPr>
      <w:r>
        <w:rPr>
          <w:rFonts w:eastAsia="微软雅黑"/>
          <w:b/>
          <w:bCs/>
          <w:color w:val="FF0000"/>
        </w:rPr>
        <w:t>8. 回顾、答疑、考试</w:t>
      </w:r>
    </w:p>
    <w:p w14:paraId="161B09C2">
      <w:pPr>
        <w:widowControl/>
        <w:jc w:val="left"/>
        <w:rPr>
          <w:rFonts w:eastAsia="微软雅黑"/>
          <w:b/>
          <w:color w:val="C00000"/>
          <w:sz w:val="24"/>
          <w:szCs w:val="24"/>
          <w14:shadow w14:blurRad="50800" w14:dist="38100" w14:dir="2700000" w14:sx="100000" w14:sy="100000" w14:kx="0" w14:ky="0" w14:algn="tl">
            <w14:srgbClr w14:val="000000">
              <w14:alpha w14:val="60000"/>
            </w14:srgbClr>
          </w14:shadow>
        </w:rPr>
      </w:pPr>
      <w:r>
        <w:rPr>
          <w:rFonts w:eastAsia="微软雅黑"/>
          <w:b/>
          <w:color w:val="C00000"/>
          <w:sz w:val="24"/>
          <w:szCs w:val="24"/>
          <w14:shadow w14:blurRad="50800" w14:dist="38100" w14:dir="2700000" w14:sx="100000" w14:sy="100000" w14:kx="0" w14:ky="0" w14:algn="tl">
            <w14:srgbClr w14:val="000000">
              <w14:alpha w14:val="60000"/>
            </w14:srgbClr>
          </w14:shadow>
        </w:rPr>
        <w:br w:type="page"/>
      </w:r>
    </w:p>
    <w:p w14:paraId="4158031F">
      <w:pPr>
        <w:spacing w:line="480" w:lineRule="exact"/>
        <w:rPr>
          <w:rFonts w:eastAsia="微软雅黑"/>
          <w:b/>
          <w:i/>
          <w:sz w:val="24"/>
          <w14:shadow w14:blurRad="50800" w14:dist="38100" w14:dir="2700000" w14:sx="100000" w14:sy="100000" w14:kx="0" w14:ky="0" w14:algn="tl">
            <w14:srgbClr w14:val="000000">
              <w14:alpha w14:val="60000"/>
            </w14:srgbClr>
          </w14:shadow>
        </w:rPr>
      </w:pPr>
      <w:r>
        <w:rPr>
          <w:rFonts w:eastAsia="微软雅黑"/>
          <w:b/>
          <w:color w:val="C00000"/>
          <w:sz w:val="24"/>
          <w:szCs w:val="24"/>
          <w14:shadow w14:blurRad="50800" w14:dist="38100" w14:dir="2700000" w14:sx="100000" w14:sy="100000" w14:kx="0" w14:ky="0" w14:algn="tl">
            <w14:srgbClr w14:val="000000">
              <w14:alpha w14:val="60000"/>
            </w14:srgbClr>
          </w14:shadow>
        </w:rPr>
        <w:t>讲师介绍：</w:t>
      </w:r>
      <w:r>
        <w:rPr>
          <w:rFonts w:eastAsia="微软雅黑"/>
          <w:b/>
          <w:sz w:val="24"/>
          <w:szCs w:val="24"/>
          <w14:shadow w14:blurRad="50800" w14:dist="38100" w14:dir="2700000" w14:sx="100000" w14:sy="100000" w14:kx="0" w14:ky="0" w14:algn="tl">
            <w14:srgbClr w14:val="000000">
              <w14:alpha w14:val="60000"/>
            </w14:srgbClr>
          </w14:shadow>
        </w:rPr>
        <w:t>山老师</w:t>
      </w:r>
    </w:p>
    <w:p w14:paraId="6CAC013E">
      <w:pPr>
        <w:spacing w:line="480" w:lineRule="exact"/>
        <w:rPr>
          <w:rFonts w:eastAsia="微软雅黑"/>
          <w:snapToGrid w:val="0"/>
          <w:szCs w:val="21"/>
        </w:rPr>
      </w:pPr>
      <w:r>
        <w:rPr>
          <w:rFonts w:eastAsia="微软雅黑"/>
          <w:snapToGrid w:val="0"/>
          <w:szCs w:val="21"/>
        </w:rPr>
        <w:t>材料工程及热处理 高级工程师  30多年汽车行业工作经验</w:t>
      </w:r>
    </w:p>
    <w:p w14:paraId="3973B570">
      <w:pPr>
        <w:spacing w:line="480" w:lineRule="exact"/>
        <w:rPr>
          <w:rFonts w:ascii="Times New Roman" w:hAnsi="Times New Roman" w:eastAsia="微软雅黑" w:cs="Times New Roman"/>
          <w:b/>
          <w:bCs/>
          <w:sz w:val="24"/>
          <w:szCs w:val="21"/>
        </w:rPr>
      </w:pPr>
      <w:r>
        <w:rPr>
          <w:rFonts w:hint="eastAsia" w:ascii="Times New Roman" w:hAnsi="Times New Roman" w:eastAsia="微软雅黑" w:cs="Times New Roman"/>
          <w:b/>
          <w:bCs/>
          <w:sz w:val="24"/>
          <w:szCs w:val="21"/>
        </w:rPr>
        <w:t>培训、咨询资历</w:t>
      </w:r>
      <w:r>
        <w:rPr>
          <w:rFonts w:ascii="Times New Roman" w:hAnsi="Times New Roman" w:eastAsia="微软雅黑" w:cs="Times New Roman"/>
          <w:b/>
          <w:bCs/>
          <w:sz w:val="24"/>
          <w:szCs w:val="21"/>
        </w:rPr>
        <w:t>：</w:t>
      </w:r>
    </w:p>
    <w:p w14:paraId="05AEEE34">
      <w:pPr>
        <w:numPr>
          <w:ilvl w:val="0"/>
          <w:numId w:val="2"/>
        </w:numPr>
        <w:spacing w:line="480" w:lineRule="exact"/>
        <w:ind w:left="420" w:leftChars="0" w:hanging="420" w:firstLineChars="0"/>
        <w:rPr>
          <w:rFonts w:hint="eastAsia" w:eastAsia="微软雅黑"/>
          <w:b w:val="0"/>
          <w:bCs w:val="0"/>
          <w:szCs w:val="21"/>
        </w:rPr>
      </w:pPr>
      <w:r>
        <w:rPr>
          <w:rFonts w:hint="eastAsia" w:eastAsia="微软雅黑"/>
          <w:b w:val="0"/>
          <w:bCs w:val="0"/>
          <w:szCs w:val="21"/>
        </w:rPr>
        <w:t>国际知名培训、咨询机构DNV\TUV（南德、莱茵、北德、DQS）\品仕\必维\天祥\奥曼克\ SGS\纳威尔格等培训、咨询机构的特聘高级讲师、咨询师</w:t>
      </w:r>
    </w:p>
    <w:p w14:paraId="2139AD67">
      <w:pPr>
        <w:numPr>
          <w:ilvl w:val="0"/>
          <w:numId w:val="2"/>
        </w:numPr>
        <w:shd w:val="clear" w:color="auto" w:fill="FFFFFF"/>
        <w:spacing w:line="480" w:lineRule="exact"/>
        <w:ind w:left="420" w:leftChars="0" w:hanging="420" w:firstLineChars="0"/>
        <w:rPr>
          <w:rFonts w:hint="eastAsia" w:eastAsia="微软雅黑"/>
          <w:b w:val="0"/>
          <w:bCs w:val="0"/>
          <w:szCs w:val="21"/>
        </w:rPr>
      </w:pPr>
      <w:r>
        <w:rPr>
          <w:rFonts w:hint="eastAsia" w:eastAsia="微软雅黑"/>
          <w:b w:val="0"/>
          <w:bCs w:val="0"/>
          <w:szCs w:val="21"/>
        </w:rPr>
        <w:t>北京信标技术培训中心等多家国内培训机构、咨询机构的特聘高级讲师、咨询师</w:t>
      </w:r>
    </w:p>
    <w:p w14:paraId="34340B96">
      <w:pPr>
        <w:numPr>
          <w:ilvl w:val="0"/>
          <w:numId w:val="2"/>
        </w:numPr>
        <w:shd w:val="clear" w:color="auto" w:fill="FFFFFF"/>
        <w:spacing w:line="480" w:lineRule="exact"/>
        <w:ind w:left="420" w:leftChars="0" w:hanging="420" w:firstLineChars="0"/>
        <w:rPr>
          <w:rFonts w:hint="eastAsia" w:eastAsia="微软雅黑"/>
          <w:b w:val="0"/>
          <w:bCs w:val="0"/>
          <w:szCs w:val="21"/>
        </w:rPr>
      </w:pPr>
      <w:r>
        <w:rPr>
          <w:rFonts w:hint="eastAsia" w:eastAsia="微软雅黑"/>
          <w:b w:val="0"/>
          <w:bCs w:val="0"/>
          <w:szCs w:val="21"/>
        </w:rPr>
        <w:t>上海工程技术大学材料工程学院等多所科研院校的客座教授、企业导师</w:t>
      </w:r>
    </w:p>
    <w:p w14:paraId="46FFB757">
      <w:pPr>
        <w:numPr>
          <w:ilvl w:val="0"/>
          <w:numId w:val="2"/>
        </w:numPr>
        <w:shd w:val="clear" w:color="auto" w:fill="FFFFFF"/>
        <w:spacing w:line="480" w:lineRule="exact"/>
        <w:ind w:left="420" w:leftChars="0" w:hanging="420" w:firstLineChars="0"/>
        <w:rPr>
          <w:rFonts w:hint="eastAsia" w:eastAsia="微软雅黑"/>
          <w:b w:val="0"/>
          <w:bCs w:val="0"/>
          <w:szCs w:val="21"/>
        </w:rPr>
      </w:pPr>
      <w:r>
        <w:rPr>
          <w:rFonts w:hint="eastAsia" w:eastAsia="微软雅黑"/>
          <w:b w:val="0"/>
          <w:bCs w:val="0"/>
          <w:szCs w:val="21"/>
        </w:rPr>
        <w:t>多家上市公司热加工技术顾问</w:t>
      </w:r>
    </w:p>
    <w:p w14:paraId="24F12E30">
      <w:pPr>
        <w:spacing w:line="480" w:lineRule="exact"/>
        <w:rPr>
          <w:rFonts w:eastAsia="微软雅黑"/>
          <w:b/>
          <w:bCs/>
          <w:sz w:val="24"/>
          <w:szCs w:val="21"/>
        </w:rPr>
      </w:pPr>
      <w:r>
        <w:rPr>
          <w:rFonts w:eastAsia="微软雅黑"/>
          <w:b/>
          <w:bCs/>
          <w:sz w:val="24"/>
          <w:szCs w:val="21"/>
        </w:rPr>
        <w:t>擅长领域：</w:t>
      </w:r>
    </w:p>
    <w:p w14:paraId="24D9FB02">
      <w:pPr>
        <w:spacing w:line="480" w:lineRule="exact"/>
        <w:rPr>
          <w:rFonts w:hint="eastAsia" w:eastAsia="微软雅黑"/>
          <w:szCs w:val="21"/>
          <w:lang w:eastAsia="zh-CN"/>
        </w:rPr>
      </w:pPr>
      <w:r>
        <w:rPr>
          <w:rFonts w:hint="eastAsia" w:eastAsia="微软雅黑"/>
          <w:szCs w:val="21"/>
        </w:rPr>
        <w:t></w:t>
      </w:r>
      <w:r>
        <w:rPr>
          <w:rFonts w:hint="eastAsia" w:eastAsia="微软雅黑"/>
          <w:b/>
          <w:bCs/>
          <w:szCs w:val="21"/>
        </w:rPr>
        <w:t>CQI特殊过程培训、审核、落地辅导咨询</w:t>
      </w:r>
      <w:r>
        <w:rPr>
          <w:rFonts w:hint="eastAsia" w:eastAsia="微软雅黑"/>
          <w:b/>
          <w:bCs/>
          <w:szCs w:val="21"/>
          <w:lang w:eastAsia="zh-CN"/>
        </w:rPr>
        <w:t>：</w:t>
      </w:r>
    </w:p>
    <w:p w14:paraId="37B50103">
      <w:pPr>
        <w:numPr>
          <w:ilvl w:val="0"/>
          <w:numId w:val="3"/>
        </w:numPr>
        <w:spacing w:line="480" w:lineRule="exact"/>
        <w:ind w:left="420" w:leftChars="0" w:hanging="420" w:firstLineChars="0"/>
        <w:rPr>
          <w:rFonts w:hint="eastAsia" w:eastAsia="微软雅黑"/>
          <w:szCs w:val="21"/>
        </w:rPr>
      </w:pPr>
      <w:r>
        <w:rPr>
          <w:rFonts w:hint="eastAsia" w:eastAsia="微软雅黑"/>
          <w:szCs w:val="21"/>
        </w:rPr>
        <w:t>CQI-9特殊过程：热处理系统评审</w:t>
      </w:r>
    </w:p>
    <w:p w14:paraId="15A0CFEC">
      <w:pPr>
        <w:numPr>
          <w:ilvl w:val="0"/>
          <w:numId w:val="3"/>
        </w:numPr>
        <w:spacing w:line="480" w:lineRule="exact"/>
        <w:ind w:left="420" w:leftChars="0" w:hanging="420" w:firstLineChars="0"/>
        <w:rPr>
          <w:rFonts w:hint="eastAsia" w:eastAsia="微软雅黑"/>
          <w:szCs w:val="21"/>
        </w:rPr>
      </w:pPr>
      <w:r>
        <w:rPr>
          <w:rFonts w:hint="eastAsia" w:eastAsia="微软雅黑"/>
          <w:szCs w:val="21"/>
        </w:rPr>
        <w:t>CQI-11特殊过程：电镀系统评审</w:t>
      </w:r>
    </w:p>
    <w:p w14:paraId="026C23EB">
      <w:pPr>
        <w:numPr>
          <w:ilvl w:val="0"/>
          <w:numId w:val="3"/>
        </w:numPr>
        <w:spacing w:line="480" w:lineRule="exact"/>
        <w:ind w:left="420" w:leftChars="0" w:hanging="420" w:firstLineChars="0"/>
        <w:rPr>
          <w:rFonts w:hint="eastAsia" w:eastAsia="微软雅黑"/>
          <w:szCs w:val="21"/>
        </w:rPr>
      </w:pPr>
      <w:r>
        <w:rPr>
          <w:rFonts w:hint="eastAsia" w:eastAsia="微软雅黑"/>
          <w:szCs w:val="21"/>
        </w:rPr>
        <w:t>CQI-12特殊过程：涂装系统评审</w:t>
      </w:r>
    </w:p>
    <w:p w14:paraId="5B42C3FB">
      <w:pPr>
        <w:numPr>
          <w:ilvl w:val="0"/>
          <w:numId w:val="3"/>
        </w:numPr>
        <w:spacing w:line="480" w:lineRule="exact"/>
        <w:ind w:left="420" w:leftChars="0" w:hanging="420" w:firstLineChars="0"/>
        <w:rPr>
          <w:rFonts w:hint="eastAsia" w:eastAsia="微软雅黑"/>
          <w:szCs w:val="21"/>
        </w:rPr>
      </w:pPr>
      <w:r>
        <w:rPr>
          <w:rFonts w:hint="eastAsia" w:eastAsia="微软雅黑"/>
          <w:szCs w:val="21"/>
        </w:rPr>
        <w:t>CQI-15特殊过程：焊接系统评审</w:t>
      </w:r>
    </w:p>
    <w:p w14:paraId="22160DB6">
      <w:pPr>
        <w:numPr>
          <w:ilvl w:val="0"/>
          <w:numId w:val="3"/>
        </w:numPr>
        <w:spacing w:line="480" w:lineRule="exact"/>
        <w:ind w:left="420" w:leftChars="0" w:hanging="420" w:firstLineChars="0"/>
        <w:rPr>
          <w:rFonts w:hint="eastAsia" w:eastAsia="微软雅黑"/>
          <w:szCs w:val="21"/>
        </w:rPr>
      </w:pPr>
      <w:r>
        <w:rPr>
          <w:rFonts w:hint="eastAsia" w:eastAsia="微软雅黑"/>
          <w:szCs w:val="21"/>
        </w:rPr>
        <w:t>CQI-17特殊过程：电子组装制造-锡焊系统评审</w:t>
      </w:r>
    </w:p>
    <w:p w14:paraId="5EDA477B">
      <w:pPr>
        <w:numPr>
          <w:ilvl w:val="0"/>
          <w:numId w:val="3"/>
        </w:numPr>
        <w:spacing w:line="480" w:lineRule="exact"/>
        <w:ind w:left="420" w:leftChars="0" w:hanging="420" w:firstLineChars="0"/>
        <w:rPr>
          <w:rFonts w:hint="eastAsia" w:eastAsia="微软雅黑"/>
          <w:szCs w:val="21"/>
        </w:rPr>
      </w:pPr>
      <w:r>
        <w:rPr>
          <w:rFonts w:hint="eastAsia" w:eastAsia="微软雅黑"/>
          <w:szCs w:val="21"/>
        </w:rPr>
        <w:t>CQI-23特殊过程：模塑系统评审</w:t>
      </w:r>
    </w:p>
    <w:p w14:paraId="39F8BE98">
      <w:pPr>
        <w:numPr>
          <w:ilvl w:val="0"/>
          <w:numId w:val="3"/>
        </w:numPr>
        <w:spacing w:line="480" w:lineRule="exact"/>
        <w:ind w:left="420" w:leftChars="0" w:hanging="420" w:firstLineChars="0"/>
        <w:rPr>
          <w:rFonts w:hint="eastAsia" w:eastAsia="微软雅黑"/>
          <w:szCs w:val="21"/>
        </w:rPr>
      </w:pPr>
      <w:r>
        <w:rPr>
          <w:rFonts w:hint="eastAsia" w:eastAsia="微软雅黑"/>
          <w:szCs w:val="21"/>
        </w:rPr>
        <w:t>CQI-27特殊过程：铸造系统评审</w:t>
      </w:r>
    </w:p>
    <w:p w14:paraId="1BD9C9F8">
      <w:pPr>
        <w:numPr>
          <w:ilvl w:val="0"/>
          <w:numId w:val="3"/>
        </w:numPr>
        <w:spacing w:line="480" w:lineRule="exact"/>
        <w:ind w:left="420" w:leftChars="0" w:hanging="420" w:firstLineChars="0"/>
        <w:rPr>
          <w:rFonts w:hint="eastAsia" w:eastAsia="微软雅黑"/>
          <w:szCs w:val="21"/>
        </w:rPr>
      </w:pPr>
      <w:r>
        <w:rPr>
          <w:rFonts w:hint="eastAsia" w:eastAsia="微软雅黑"/>
          <w:szCs w:val="21"/>
        </w:rPr>
        <w:t>CQI-29 特殊过程：钎焊系统评审</w:t>
      </w:r>
    </w:p>
    <w:p w14:paraId="28DD8DC5">
      <w:pPr>
        <w:numPr>
          <w:ilvl w:val="0"/>
          <w:numId w:val="3"/>
        </w:numPr>
        <w:spacing w:line="480" w:lineRule="exact"/>
        <w:ind w:left="420" w:leftChars="0" w:hanging="420" w:firstLineChars="0"/>
        <w:rPr>
          <w:rFonts w:hint="eastAsia" w:eastAsia="微软雅黑"/>
          <w:szCs w:val="21"/>
        </w:rPr>
      </w:pPr>
      <w:r>
        <w:rPr>
          <w:rFonts w:hint="eastAsia" w:eastAsia="微软雅黑"/>
          <w:szCs w:val="21"/>
        </w:rPr>
        <w:t>CQI-30 特殊过程: 橡胶混炼和成型系统评审</w:t>
      </w:r>
    </w:p>
    <w:p w14:paraId="72F8E05E">
      <w:pPr>
        <w:spacing w:line="480" w:lineRule="exact"/>
        <w:rPr>
          <w:rFonts w:hint="eastAsia" w:eastAsia="微软雅黑"/>
          <w:szCs w:val="21"/>
          <w:lang w:eastAsia="zh-CN"/>
        </w:rPr>
      </w:pPr>
      <w:r>
        <w:rPr>
          <w:rFonts w:hint="eastAsia" w:eastAsia="微软雅黑"/>
          <w:szCs w:val="21"/>
        </w:rPr>
        <w:t></w:t>
      </w:r>
      <w:r>
        <w:rPr>
          <w:rFonts w:hint="eastAsia" w:ascii="Times New Roman" w:hAnsi="Times New Roman" w:eastAsia="微软雅黑" w:cs="Times New Roman"/>
          <w:b/>
          <w:bCs/>
          <w:szCs w:val="21"/>
        </w:rPr>
        <w:t>其它CQI应用课程的培训、咨询</w:t>
      </w:r>
      <w:r>
        <w:rPr>
          <w:rFonts w:hint="eastAsia" w:eastAsia="微软雅黑"/>
          <w:szCs w:val="21"/>
          <w:lang w:eastAsia="zh-CN"/>
        </w:rPr>
        <w:t>：</w:t>
      </w:r>
    </w:p>
    <w:p w14:paraId="6CEAC7E2">
      <w:pPr>
        <w:numPr>
          <w:ilvl w:val="0"/>
          <w:numId w:val="3"/>
        </w:numPr>
        <w:spacing w:line="480" w:lineRule="exact"/>
        <w:ind w:left="420" w:leftChars="0" w:hanging="420" w:firstLineChars="0"/>
        <w:rPr>
          <w:rFonts w:hint="eastAsia" w:ascii="Times New Roman" w:hAnsi="Times New Roman" w:eastAsia="微软雅黑" w:cs="Times New Roman"/>
          <w:szCs w:val="21"/>
        </w:rPr>
      </w:pPr>
      <w:r>
        <w:rPr>
          <w:rFonts w:hint="eastAsia" w:ascii="Times New Roman" w:hAnsi="Times New Roman" w:eastAsia="微软雅黑" w:cs="Times New Roman"/>
          <w:szCs w:val="21"/>
        </w:rPr>
        <w:t>CQI-8分层过程审核</w:t>
      </w:r>
    </w:p>
    <w:p w14:paraId="4E0E3B2C">
      <w:pPr>
        <w:numPr>
          <w:ilvl w:val="0"/>
          <w:numId w:val="3"/>
        </w:numPr>
        <w:spacing w:line="480" w:lineRule="exact"/>
        <w:ind w:left="420" w:leftChars="0" w:hanging="420" w:firstLineChars="0"/>
        <w:rPr>
          <w:rFonts w:hint="eastAsia" w:ascii="Times New Roman" w:hAnsi="Times New Roman" w:eastAsia="微软雅黑" w:cs="Times New Roman"/>
          <w:szCs w:val="21"/>
        </w:rPr>
      </w:pPr>
      <w:r>
        <w:rPr>
          <w:rFonts w:hint="eastAsia" w:ascii="Times New Roman" w:hAnsi="Times New Roman" w:eastAsia="微软雅黑" w:cs="Times New Roman"/>
          <w:szCs w:val="21"/>
        </w:rPr>
        <w:t>CQI-14 汽车保修管理-行业最佳实践指南</w:t>
      </w:r>
    </w:p>
    <w:p w14:paraId="726CCF37">
      <w:pPr>
        <w:numPr>
          <w:ilvl w:val="0"/>
          <w:numId w:val="3"/>
        </w:numPr>
        <w:spacing w:line="480" w:lineRule="exact"/>
        <w:ind w:left="420" w:leftChars="0" w:hanging="420" w:firstLineChars="0"/>
        <w:rPr>
          <w:rFonts w:hint="eastAsia" w:ascii="Times New Roman" w:hAnsi="Times New Roman" w:eastAsia="微软雅黑" w:cs="Times New Roman"/>
          <w:szCs w:val="21"/>
        </w:rPr>
      </w:pPr>
      <w:r>
        <w:rPr>
          <w:rFonts w:hint="eastAsia" w:ascii="Times New Roman" w:hAnsi="Times New Roman" w:eastAsia="微软雅黑" w:cs="Times New Roman"/>
          <w:szCs w:val="21"/>
        </w:rPr>
        <w:t>CQI-18 有效防错指南</w:t>
      </w:r>
    </w:p>
    <w:p w14:paraId="2C66E738">
      <w:pPr>
        <w:numPr>
          <w:ilvl w:val="0"/>
          <w:numId w:val="3"/>
        </w:numPr>
        <w:spacing w:line="480" w:lineRule="exact"/>
        <w:ind w:left="420" w:leftChars="0" w:hanging="420" w:firstLineChars="0"/>
        <w:rPr>
          <w:rFonts w:hint="eastAsia" w:ascii="Times New Roman" w:hAnsi="Times New Roman" w:eastAsia="微软雅黑" w:cs="Times New Roman"/>
          <w:szCs w:val="21"/>
        </w:rPr>
      </w:pPr>
      <w:r>
        <w:rPr>
          <w:rFonts w:hint="eastAsia" w:ascii="Times New Roman" w:hAnsi="Times New Roman" w:eastAsia="微软雅黑" w:cs="Times New Roman"/>
          <w:szCs w:val="21"/>
        </w:rPr>
        <w:t>CQI-20问题有效解决从业者指南（问题分析）</w:t>
      </w:r>
    </w:p>
    <w:p w14:paraId="55EF01E9">
      <w:pPr>
        <w:numPr>
          <w:ilvl w:val="0"/>
          <w:numId w:val="3"/>
        </w:numPr>
        <w:spacing w:line="480" w:lineRule="exact"/>
        <w:ind w:left="420" w:leftChars="0" w:hanging="420" w:firstLineChars="0"/>
        <w:rPr>
          <w:rFonts w:hint="eastAsia" w:ascii="Times New Roman" w:hAnsi="Times New Roman" w:eastAsia="微软雅黑" w:cs="Times New Roman"/>
          <w:szCs w:val="21"/>
        </w:rPr>
      </w:pPr>
      <w:r>
        <w:rPr>
          <w:rFonts w:hint="eastAsia" w:ascii="Times New Roman" w:hAnsi="Times New Roman" w:eastAsia="微软雅黑" w:cs="Times New Roman"/>
          <w:szCs w:val="21"/>
        </w:rPr>
        <w:t>CQI-21 问题有效解决领导者指南</w:t>
      </w:r>
    </w:p>
    <w:p w14:paraId="48F5EBF1">
      <w:pPr>
        <w:spacing w:line="480" w:lineRule="exact"/>
        <w:rPr>
          <w:rFonts w:hint="eastAsia" w:ascii="Times New Roman" w:hAnsi="Times New Roman" w:eastAsia="微软雅黑" w:cs="Times New Roman"/>
          <w:b/>
          <w:bCs/>
          <w:szCs w:val="21"/>
        </w:rPr>
      </w:pPr>
      <w:r>
        <w:rPr>
          <w:rFonts w:hint="eastAsia" w:ascii="Times New Roman" w:hAnsi="Times New Roman" w:eastAsia="微软雅黑" w:cs="Times New Roman"/>
          <w:b/>
          <w:bCs/>
          <w:szCs w:val="21"/>
        </w:rPr>
        <w:t>VDA6.3 过程审核（与其他老师合作）</w:t>
      </w:r>
    </w:p>
    <w:p w14:paraId="0E560001">
      <w:pPr>
        <w:spacing w:line="480" w:lineRule="exact"/>
        <w:rPr>
          <w:rFonts w:hint="eastAsia" w:ascii="Times New Roman" w:hAnsi="Times New Roman" w:eastAsia="微软雅黑" w:cs="Times New Roman"/>
          <w:b/>
          <w:bCs/>
          <w:szCs w:val="21"/>
        </w:rPr>
      </w:pPr>
      <w:r>
        <w:rPr>
          <w:rFonts w:hint="eastAsia" w:ascii="Times New Roman" w:hAnsi="Times New Roman" w:eastAsia="微软雅黑" w:cs="Times New Roman"/>
          <w:b/>
          <w:bCs/>
          <w:szCs w:val="21"/>
        </w:rPr>
        <w:t>VDA6.5 产品审核（与其他老师合作）</w:t>
      </w:r>
    </w:p>
    <w:p w14:paraId="1BCAC872">
      <w:pPr>
        <w:spacing w:line="480" w:lineRule="exact"/>
        <w:rPr>
          <w:rFonts w:hint="eastAsia" w:ascii="Times New Roman" w:hAnsi="Times New Roman" w:eastAsia="微软雅黑" w:cs="Times New Roman"/>
          <w:b/>
          <w:bCs/>
          <w:szCs w:val="21"/>
        </w:rPr>
      </w:pPr>
      <w:r>
        <w:rPr>
          <w:rFonts w:hint="eastAsia" w:ascii="Times New Roman" w:hAnsi="Times New Roman" w:eastAsia="微软雅黑" w:cs="Times New Roman"/>
          <w:b/>
          <w:bCs/>
          <w:szCs w:val="21"/>
        </w:rPr>
        <w:t>通用汽车“GP10供应商实验室评估和认证程序”的培训、审核咨询、落地辅导</w:t>
      </w:r>
    </w:p>
    <w:p w14:paraId="14DA5D92">
      <w:pPr>
        <w:spacing w:line="480" w:lineRule="exact"/>
        <w:rPr>
          <w:rFonts w:hint="eastAsia" w:ascii="Times New Roman" w:hAnsi="Times New Roman" w:eastAsia="微软雅黑" w:cs="Times New Roman"/>
          <w:b/>
          <w:bCs/>
          <w:szCs w:val="21"/>
        </w:rPr>
      </w:pPr>
      <w:r>
        <w:rPr>
          <w:rFonts w:hint="eastAsia" w:ascii="Times New Roman" w:hAnsi="Times New Roman" w:eastAsia="微软雅黑" w:cs="Times New Roman"/>
          <w:b/>
          <w:bCs/>
          <w:szCs w:val="21"/>
        </w:rPr>
        <w:t>“特殊特性”识别和控制培训和咨询</w:t>
      </w:r>
    </w:p>
    <w:p w14:paraId="5A00D396">
      <w:pPr>
        <w:spacing w:line="480" w:lineRule="exact"/>
        <w:rPr>
          <w:rFonts w:hint="eastAsia" w:ascii="Times New Roman" w:hAnsi="Times New Roman" w:eastAsia="微软雅黑" w:cs="Times New Roman"/>
          <w:b/>
          <w:bCs/>
          <w:szCs w:val="21"/>
        </w:rPr>
      </w:pPr>
      <w:r>
        <w:rPr>
          <w:rFonts w:hint="eastAsia" w:ascii="Times New Roman" w:hAnsi="Times New Roman" w:eastAsia="微软雅黑" w:cs="Times New Roman"/>
          <w:b/>
          <w:bCs/>
          <w:szCs w:val="21"/>
        </w:rPr>
        <w:t>“精益生产”培训和咨询</w:t>
      </w:r>
    </w:p>
    <w:p w14:paraId="1E7B3A2A">
      <w:pPr>
        <w:spacing w:line="480" w:lineRule="exact"/>
        <w:rPr>
          <w:rFonts w:hint="eastAsia" w:ascii="Times New Roman" w:hAnsi="Times New Roman" w:eastAsia="微软雅黑" w:cs="Times New Roman"/>
          <w:b/>
          <w:bCs/>
          <w:szCs w:val="21"/>
        </w:rPr>
      </w:pPr>
      <w:r>
        <w:rPr>
          <w:rFonts w:hint="eastAsia" w:ascii="Times New Roman" w:hAnsi="Times New Roman" w:eastAsia="微软雅黑" w:cs="Times New Roman"/>
          <w:b/>
          <w:bCs/>
          <w:szCs w:val="21"/>
        </w:rPr>
        <w:t> 产品失效分析咨询</w:t>
      </w:r>
    </w:p>
    <w:p w14:paraId="610A5893">
      <w:pPr>
        <w:spacing w:line="480" w:lineRule="exact"/>
        <w:rPr>
          <w:rFonts w:hint="eastAsia" w:ascii="Times New Roman" w:hAnsi="Times New Roman" w:eastAsia="微软雅黑" w:cs="Times New Roman"/>
          <w:b/>
          <w:bCs/>
          <w:szCs w:val="21"/>
        </w:rPr>
      </w:pPr>
      <w:r>
        <w:rPr>
          <w:rFonts w:hint="eastAsia" w:ascii="Times New Roman" w:hAnsi="Times New Roman" w:eastAsia="微软雅黑" w:cs="Times New Roman"/>
          <w:b/>
          <w:bCs/>
          <w:szCs w:val="21"/>
        </w:rPr>
        <w:t>“六大工具”培训和咨询</w:t>
      </w:r>
    </w:p>
    <w:p w14:paraId="21201F54">
      <w:pPr>
        <w:spacing w:line="480" w:lineRule="exact"/>
        <w:rPr>
          <w:rFonts w:hint="eastAsia" w:ascii="Times New Roman" w:hAnsi="Times New Roman" w:eastAsia="微软雅黑" w:cs="Times New Roman"/>
          <w:b/>
          <w:bCs/>
          <w:szCs w:val="21"/>
        </w:rPr>
      </w:pPr>
      <w:r>
        <w:rPr>
          <w:rFonts w:hint="eastAsia" w:ascii="Times New Roman" w:hAnsi="Times New Roman" w:eastAsia="微软雅黑" w:cs="Times New Roman"/>
          <w:b/>
          <w:bCs/>
          <w:szCs w:val="21"/>
        </w:rPr>
        <w:t>“IATF16949质量体系”咨询</w:t>
      </w:r>
    </w:p>
    <w:p w14:paraId="7D4F7306">
      <w:pPr>
        <w:spacing w:line="480" w:lineRule="exact"/>
        <w:rPr>
          <w:rFonts w:hint="eastAsia" w:ascii="Times New Roman" w:hAnsi="Times New Roman" w:eastAsia="微软雅黑" w:cs="Times New Roman"/>
          <w:b/>
          <w:bCs/>
          <w:szCs w:val="21"/>
        </w:rPr>
      </w:pPr>
      <w:r>
        <w:rPr>
          <w:rFonts w:hint="eastAsia" w:ascii="Times New Roman" w:hAnsi="Times New Roman" w:eastAsia="微软雅黑" w:cs="Times New Roman"/>
          <w:b/>
          <w:bCs/>
          <w:szCs w:val="21"/>
        </w:rPr>
        <w:t>“工厂规划”咨询</w:t>
      </w:r>
    </w:p>
    <w:p w14:paraId="66D9CD7B">
      <w:pPr>
        <w:spacing w:line="480" w:lineRule="exact"/>
        <w:rPr>
          <w:rFonts w:hint="eastAsia" w:eastAsia="微软雅黑"/>
          <w:szCs w:val="21"/>
        </w:rPr>
      </w:pPr>
      <w:r>
        <w:rPr>
          <w:rFonts w:hint="eastAsia" w:eastAsia="微软雅黑"/>
          <w:szCs w:val="21"/>
        </w:rPr>
        <w:t></w:t>
      </w:r>
      <w:r>
        <w:rPr>
          <w:rFonts w:hint="eastAsia" w:ascii="Times New Roman" w:hAnsi="Times New Roman" w:eastAsia="微软雅黑" w:cs="Times New Roman"/>
          <w:b/>
          <w:bCs/>
          <w:szCs w:val="21"/>
        </w:rPr>
        <w:t>热加工咨询，包括：</w:t>
      </w:r>
    </w:p>
    <w:p w14:paraId="63D5B886">
      <w:pPr>
        <w:numPr>
          <w:ilvl w:val="0"/>
          <w:numId w:val="3"/>
        </w:numPr>
        <w:spacing w:line="480" w:lineRule="exact"/>
        <w:ind w:left="420" w:leftChars="0" w:hanging="420" w:firstLineChars="0"/>
        <w:rPr>
          <w:rFonts w:hint="eastAsia" w:eastAsia="微软雅黑"/>
          <w:szCs w:val="21"/>
        </w:rPr>
      </w:pPr>
      <w:r>
        <w:rPr>
          <w:rFonts w:hint="eastAsia" w:eastAsia="微软雅黑"/>
          <w:szCs w:val="21"/>
        </w:rPr>
        <w:t>铸造技术咨询</w:t>
      </w:r>
    </w:p>
    <w:p w14:paraId="6DF68074">
      <w:pPr>
        <w:numPr>
          <w:ilvl w:val="0"/>
          <w:numId w:val="3"/>
        </w:numPr>
        <w:spacing w:line="480" w:lineRule="exact"/>
        <w:ind w:left="420" w:leftChars="0" w:hanging="420" w:firstLineChars="0"/>
        <w:rPr>
          <w:rFonts w:hint="eastAsia" w:eastAsia="微软雅黑"/>
          <w:szCs w:val="21"/>
        </w:rPr>
      </w:pPr>
      <w:r>
        <w:rPr>
          <w:rFonts w:hint="eastAsia" w:eastAsia="微软雅黑"/>
          <w:szCs w:val="21"/>
        </w:rPr>
        <w:t>焊接技术咨询</w:t>
      </w:r>
    </w:p>
    <w:p w14:paraId="47ACA295">
      <w:pPr>
        <w:numPr>
          <w:ilvl w:val="0"/>
          <w:numId w:val="3"/>
        </w:numPr>
        <w:spacing w:line="480" w:lineRule="exact"/>
        <w:ind w:left="420" w:leftChars="0" w:hanging="420" w:firstLineChars="0"/>
        <w:rPr>
          <w:rFonts w:hint="eastAsia" w:eastAsia="微软雅黑"/>
          <w:szCs w:val="21"/>
        </w:rPr>
      </w:pPr>
      <w:r>
        <w:rPr>
          <w:rFonts w:hint="eastAsia" w:eastAsia="微软雅黑"/>
          <w:szCs w:val="21"/>
        </w:rPr>
        <w:t>钢厂过程控制咨询</w:t>
      </w:r>
    </w:p>
    <w:p w14:paraId="08D61B57">
      <w:pPr>
        <w:numPr>
          <w:ilvl w:val="0"/>
          <w:numId w:val="3"/>
        </w:numPr>
        <w:spacing w:line="480" w:lineRule="exact"/>
        <w:ind w:left="420" w:leftChars="0" w:hanging="420" w:firstLineChars="0"/>
        <w:rPr>
          <w:rFonts w:hint="eastAsia" w:eastAsia="微软雅黑"/>
          <w:szCs w:val="21"/>
        </w:rPr>
      </w:pPr>
      <w:r>
        <w:rPr>
          <w:rFonts w:hint="eastAsia" w:eastAsia="微软雅黑"/>
          <w:szCs w:val="21"/>
        </w:rPr>
        <w:t>表面热处理（感应热处理设计审核、工艺开发、感应器设计和制造等）</w:t>
      </w:r>
    </w:p>
    <w:p w14:paraId="32C4105F">
      <w:pPr>
        <w:numPr>
          <w:ilvl w:val="0"/>
          <w:numId w:val="3"/>
        </w:numPr>
        <w:spacing w:line="480" w:lineRule="exact"/>
        <w:ind w:left="420" w:leftChars="0" w:hanging="420" w:firstLineChars="0"/>
        <w:rPr>
          <w:rFonts w:hint="eastAsia" w:eastAsia="微软雅黑"/>
          <w:szCs w:val="21"/>
        </w:rPr>
      </w:pPr>
      <w:r>
        <w:rPr>
          <w:rFonts w:hint="eastAsia" w:eastAsia="微软雅黑"/>
          <w:szCs w:val="21"/>
        </w:rPr>
        <w:t>化学热处理（渗碳、碳氮共渗、氮化等）</w:t>
      </w:r>
    </w:p>
    <w:p w14:paraId="24D85346">
      <w:pPr>
        <w:numPr>
          <w:ilvl w:val="0"/>
          <w:numId w:val="3"/>
        </w:numPr>
        <w:spacing w:line="480" w:lineRule="exact"/>
        <w:ind w:left="420" w:leftChars="0" w:hanging="420" w:firstLineChars="0"/>
        <w:rPr>
          <w:rFonts w:hint="eastAsia" w:eastAsia="微软雅黑"/>
          <w:szCs w:val="21"/>
        </w:rPr>
      </w:pPr>
      <w:r>
        <w:rPr>
          <w:rFonts w:hint="eastAsia" w:eastAsia="微软雅黑"/>
          <w:szCs w:val="21"/>
        </w:rPr>
        <w:t>常规热处理（正火、退火、淬火、回火）</w:t>
      </w:r>
    </w:p>
    <w:p w14:paraId="3CD6B859">
      <w:pPr>
        <w:numPr>
          <w:ilvl w:val="0"/>
          <w:numId w:val="3"/>
        </w:numPr>
        <w:spacing w:line="480" w:lineRule="exact"/>
        <w:ind w:left="420" w:leftChars="0" w:hanging="420" w:firstLineChars="0"/>
        <w:rPr>
          <w:rFonts w:hint="eastAsia" w:eastAsia="微软雅黑"/>
          <w:szCs w:val="21"/>
        </w:rPr>
      </w:pPr>
      <w:r>
        <w:rPr>
          <w:rFonts w:hint="eastAsia" w:eastAsia="微软雅黑"/>
          <w:szCs w:val="21"/>
        </w:rPr>
        <w:t>铝合金热处理</w:t>
      </w:r>
    </w:p>
    <w:p w14:paraId="6E3A6767">
      <w:pPr>
        <w:numPr>
          <w:ilvl w:val="0"/>
          <w:numId w:val="3"/>
        </w:numPr>
        <w:spacing w:line="480" w:lineRule="exact"/>
        <w:ind w:left="420" w:leftChars="0" w:hanging="420" w:firstLineChars="0"/>
        <w:rPr>
          <w:rFonts w:hint="eastAsia" w:eastAsia="微软雅黑"/>
          <w:szCs w:val="21"/>
        </w:rPr>
      </w:pPr>
      <w:r>
        <w:rPr>
          <w:rFonts w:hint="eastAsia" w:eastAsia="微软雅黑"/>
          <w:szCs w:val="21"/>
        </w:rPr>
        <w:t>材料学（制定材料标准、与钢厂谈判、鉴定等）</w:t>
      </w:r>
    </w:p>
    <w:p w14:paraId="442371EC">
      <w:pPr>
        <w:numPr>
          <w:ilvl w:val="0"/>
          <w:numId w:val="3"/>
        </w:numPr>
        <w:spacing w:line="480" w:lineRule="exact"/>
        <w:ind w:left="420" w:leftChars="0" w:hanging="420" w:firstLineChars="0"/>
        <w:rPr>
          <w:rFonts w:hint="eastAsia" w:eastAsia="微软雅黑"/>
          <w:szCs w:val="21"/>
        </w:rPr>
      </w:pPr>
      <w:r>
        <w:rPr>
          <w:rFonts w:hint="eastAsia" w:eastAsia="微软雅黑"/>
          <w:szCs w:val="21"/>
        </w:rPr>
        <w:t>无损检测（磁粉探伤等）</w:t>
      </w:r>
    </w:p>
    <w:p w14:paraId="5FD61A59">
      <w:pPr>
        <w:numPr>
          <w:ilvl w:val="0"/>
          <w:numId w:val="3"/>
        </w:numPr>
        <w:spacing w:line="480" w:lineRule="exact"/>
        <w:ind w:left="420" w:leftChars="0" w:hanging="420" w:firstLineChars="0"/>
        <w:rPr>
          <w:rFonts w:hint="eastAsia" w:eastAsia="微软雅黑"/>
          <w:szCs w:val="21"/>
        </w:rPr>
      </w:pPr>
      <w:r>
        <w:rPr>
          <w:rFonts w:hint="eastAsia" w:eastAsia="微软雅黑"/>
          <w:szCs w:val="21"/>
        </w:rPr>
        <w:t>热工计量技术：SAT系统准确度测试、TUS炉温均匀性测试等</w:t>
      </w:r>
    </w:p>
    <w:p w14:paraId="7D648762">
      <w:pPr>
        <w:numPr>
          <w:ilvl w:val="0"/>
          <w:numId w:val="3"/>
        </w:numPr>
        <w:spacing w:line="480" w:lineRule="exact"/>
        <w:ind w:left="420" w:leftChars="0" w:hanging="420" w:firstLineChars="0"/>
        <w:rPr>
          <w:rFonts w:hint="eastAsia" w:eastAsia="微软雅黑"/>
          <w:szCs w:val="21"/>
        </w:rPr>
      </w:pPr>
      <w:r>
        <w:rPr>
          <w:rFonts w:hint="eastAsia" w:eastAsia="微软雅黑"/>
          <w:szCs w:val="21"/>
        </w:rPr>
        <w:t>按GP10对热处理检查室、热工计量室进行实验室系统审核咨询</w:t>
      </w:r>
    </w:p>
    <w:p w14:paraId="1DC8D428">
      <w:pPr>
        <w:numPr>
          <w:ilvl w:val="0"/>
          <w:numId w:val="3"/>
        </w:numPr>
        <w:spacing w:line="480" w:lineRule="exact"/>
        <w:ind w:left="420" w:leftChars="0" w:hanging="420" w:firstLineChars="0"/>
        <w:rPr>
          <w:rFonts w:hint="eastAsia" w:eastAsia="微软雅黑"/>
          <w:szCs w:val="21"/>
        </w:rPr>
      </w:pPr>
      <w:r>
        <w:rPr>
          <w:rFonts w:hint="eastAsia" w:eastAsia="微软雅黑"/>
          <w:szCs w:val="21"/>
        </w:rPr>
        <w:t>上述技术的工艺开发、设备选购、工厂规划服务。</w:t>
      </w:r>
    </w:p>
    <w:p w14:paraId="38AC1091">
      <w:pPr>
        <w:numPr>
          <w:ilvl w:val="0"/>
          <w:numId w:val="3"/>
        </w:numPr>
        <w:spacing w:line="480" w:lineRule="exact"/>
        <w:ind w:left="420" w:leftChars="0" w:hanging="420" w:firstLineChars="0"/>
        <w:rPr>
          <w:rFonts w:hint="eastAsia" w:eastAsia="微软雅黑"/>
          <w:szCs w:val="21"/>
        </w:rPr>
      </w:pPr>
      <w:r>
        <w:rPr>
          <w:rFonts w:hint="eastAsia" w:eastAsia="微软雅黑"/>
          <w:szCs w:val="21"/>
        </w:rPr>
        <w:t>热加工（铸锻热）项目规划、实施咨询</w:t>
      </w:r>
    </w:p>
    <w:p w14:paraId="72FA9CE2">
      <w:pPr>
        <w:numPr>
          <w:ilvl w:val="0"/>
          <w:numId w:val="3"/>
        </w:numPr>
        <w:spacing w:line="480" w:lineRule="exact"/>
        <w:ind w:left="420" w:leftChars="0" w:hanging="420" w:firstLineChars="0"/>
        <w:rPr>
          <w:rFonts w:hint="eastAsia" w:eastAsia="微软雅黑"/>
          <w:szCs w:val="21"/>
        </w:rPr>
      </w:pPr>
      <w:r>
        <w:rPr>
          <w:rFonts w:hint="eastAsia" w:eastAsia="微软雅黑"/>
          <w:szCs w:val="21"/>
        </w:rPr>
        <w:t>“热加工装备及实验室设备”选用及采购咨询</w:t>
      </w:r>
    </w:p>
    <w:p w14:paraId="5DB62F30">
      <w:pPr>
        <w:spacing w:line="480" w:lineRule="exact"/>
        <w:rPr>
          <w:rFonts w:eastAsia="微软雅黑"/>
          <w:kern w:val="0"/>
          <w:szCs w:val="21"/>
        </w:rPr>
      </w:pPr>
      <w:r>
        <w:rPr>
          <w:rFonts w:eastAsia="微软雅黑"/>
          <w:b/>
          <w:bCs/>
          <w:kern w:val="0"/>
          <w:szCs w:val="21"/>
        </w:rPr>
        <w:t>曾任：</w:t>
      </w:r>
      <w:r>
        <w:rPr>
          <w:rFonts w:eastAsia="微软雅黑"/>
          <w:kern w:val="0"/>
          <w:szCs w:val="21"/>
        </w:rPr>
        <w:t>上海拖拉机内燃机公司</w:t>
      </w:r>
    </w:p>
    <w:p w14:paraId="20E72943">
      <w:pPr>
        <w:spacing w:line="480" w:lineRule="exact"/>
        <w:ind w:firstLine="630" w:firstLineChars="300"/>
        <w:rPr>
          <w:rFonts w:eastAsia="微软雅黑"/>
          <w:kern w:val="0"/>
          <w:szCs w:val="21"/>
        </w:rPr>
      </w:pPr>
      <w:r>
        <w:rPr>
          <w:rFonts w:eastAsia="微软雅黑"/>
          <w:kern w:val="0"/>
          <w:szCs w:val="21"/>
        </w:rPr>
        <w:t>热处理技术主任、生产主管、技术委员会成员、新产品图纸审核。</w:t>
      </w:r>
    </w:p>
    <w:p w14:paraId="0E4F8565">
      <w:pPr>
        <w:spacing w:line="480" w:lineRule="exact"/>
        <w:rPr>
          <w:rFonts w:eastAsia="微软雅黑"/>
          <w:kern w:val="0"/>
          <w:szCs w:val="21"/>
        </w:rPr>
      </w:pPr>
      <w:r>
        <w:rPr>
          <w:rFonts w:eastAsia="微软雅黑"/>
          <w:b/>
          <w:bCs/>
          <w:kern w:val="0"/>
          <w:szCs w:val="21"/>
        </w:rPr>
        <w:t>曾任：</w:t>
      </w:r>
      <w:r>
        <w:rPr>
          <w:rFonts w:eastAsia="微软雅黑"/>
          <w:kern w:val="0"/>
          <w:szCs w:val="21"/>
        </w:rPr>
        <w:t>GKN集团 上海纳铁福传动轴有限公司</w:t>
      </w:r>
    </w:p>
    <w:p w14:paraId="5440C775">
      <w:pPr>
        <w:spacing w:line="480" w:lineRule="exact"/>
        <w:ind w:firstLine="630" w:firstLineChars="300"/>
        <w:rPr>
          <w:rFonts w:eastAsia="微软雅黑"/>
          <w:kern w:val="0"/>
          <w:szCs w:val="21"/>
        </w:rPr>
      </w:pPr>
      <w:r>
        <w:rPr>
          <w:rFonts w:eastAsia="微软雅黑"/>
          <w:kern w:val="0"/>
          <w:szCs w:val="21"/>
        </w:rPr>
        <w:t>热处理技术和项目规划主管工程师</w:t>
      </w:r>
    </w:p>
    <w:p w14:paraId="79C5AD3C">
      <w:pPr>
        <w:spacing w:line="480" w:lineRule="exact"/>
        <w:rPr>
          <w:rFonts w:eastAsia="微软雅黑"/>
          <w:b/>
          <w:bCs/>
          <w:kern w:val="0"/>
          <w:szCs w:val="21"/>
        </w:rPr>
      </w:pPr>
      <w:r>
        <w:rPr>
          <w:rFonts w:eastAsia="微软雅黑"/>
          <w:b/>
          <w:bCs/>
          <w:kern w:val="0"/>
          <w:szCs w:val="21"/>
        </w:rPr>
        <w:t>曾任：</w:t>
      </w:r>
      <w:r>
        <w:rPr>
          <w:rFonts w:eastAsia="微软雅黑"/>
          <w:kern w:val="0"/>
          <w:szCs w:val="21"/>
        </w:rPr>
        <w:t>上汽通用汽车有限公司</w:t>
      </w:r>
    </w:p>
    <w:p w14:paraId="0AD417D0">
      <w:pPr>
        <w:spacing w:line="480" w:lineRule="exact"/>
        <w:ind w:firstLine="630" w:firstLineChars="300"/>
        <w:rPr>
          <w:rFonts w:eastAsia="微软雅黑"/>
          <w:kern w:val="0"/>
          <w:szCs w:val="21"/>
        </w:rPr>
      </w:pPr>
      <w:r>
        <w:rPr>
          <w:rFonts w:eastAsia="微软雅黑"/>
          <w:kern w:val="0"/>
          <w:szCs w:val="21"/>
        </w:rPr>
        <w:t>自动变速器装配线ME主管；</w:t>
      </w:r>
    </w:p>
    <w:p w14:paraId="692E9847">
      <w:pPr>
        <w:spacing w:line="480" w:lineRule="exact"/>
        <w:ind w:firstLine="630" w:firstLineChars="300"/>
        <w:rPr>
          <w:rFonts w:eastAsia="微软雅黑"/>
          <w:kern w:val="0"/>
          <w:szCs w:val="21"/>
        </w:rPr>
      </w:pPr>
      <w:r>
        <w:rPr>
          <w:rFonts w:eastAsia="微软雅黑"/>
          <w:kern w:val="0"/>
          <w:szCs w:val="21"/>
        </w:rPr>
        <w:t>ME部门材料、热加工（铸造、锻造、热处理）的技术和项目规划主管；</w:t>
      </w:r>
    </w:p>
    <w:p w14:paraId="6DAD2B3F">
      <w:pPr>
        <w:spacing w:line="480" w:lineRule="exact"/>
        <w:ind w:firstLine="630" w:firstLineChars="300"/>
        <w:rPr>
          <w:rFonts w:eastAsia="微软雅黑"/>
          <w:kern w:val="0"/>
          <w:szCs w:val="21"/>
        </w:rPr>
      </w:pPr>
      <w:r>
        <w:rPr>
          <w:rFonts w:eastAsia="微软雅黑"/>
          <w:kern w:val="0"/>
          <w:szCs w:val="21"/>
        </w:rPr>
        <w:t>动力总成制造工程部 质量体系专员；</w:t>
      </w:r>
    </w:p>
    <w:p w14:paraId="21676DA4">
      <w:pPr>
        <w:spacing w:line="480" w:lineRule="exact"/>
        <w:ind w:firstLine="630" w:firstLineChars="300"/>
        <w:rPr>
          <w:rFonts w:eastAsia="微软雅黑"/>
          <w:kern w:val="0"/>
          <w:szCs w:val="21"/>
        </w:rPr>
      </w:pPr>
      <w:r>
        <w:rPr>
          <w:rFonts w:eastAsia="微软雅黑"/>
          <w:kern w:val="0"/>
          <w:szCs w:val="21"/>
        </w:rPr>
        <w:t>SQE部门技术顾问；</w:t>
      </w:r>
    </w:p>
    <w:p w14:paraId="7A3DC730">
      <w:pPr>
        <w:spacing w:line="480" w:lineRule="exact"/>
        <w:ind w:firstLine="630" w:firstLineChars="300"/>
        <w:rPr>
          <w:rFonts w:eastAsia="微软雅黑"/>
          <w:kern w:val="0"/>
          <w:szCs w:val="21"/>
        </w:rPr>
      </w:pPr>
      <w:r>
        <w:rPr>
          <w:rFonts w:eastAsia="微软雅黑"/>
          <w:kern w:val="0"/>
          <w:szCs w:val="21"/>
        </w:rPr>
        <w:t>泛亚汽车设计部门材料和热加工技术技术顾问；</w:t>
      </w:r>
    </w:p>
    <w:p w14:paraId="27890C73">
      <w:pPr>
        <w:spacing w:line="480" w:lineRule="exact"/>
        <w:ind w:firstLine="630" w:firstLineChars="300"/>
        <w:rPr>
          <w:rFonts w:eastAsia="微软雅黑"/>
          <w:kern w:val="0"/>
          <w:szCs w:val="21"/>
        </w:rPr>
      </w:pPr>
      <w:r>
        <w:rPr>
          <w:rFonts w:eastAsia="微软雅黑"/>
          <w:kern w:val="0"/>
          <w:szCs w:val="21"/>
        </w:rPr>
        <w:t>通用汽车烟台东岳基地的热加工成本和商务专员；</w:t>
      </w:r>
    </w:p>
    <w:p w14:paraId="5EFCADAD">
      <w:pPr>
        <w:spacing w:line="480" w:lineRule="exact"/>
        <w:rPr>
          <w:rFonts w:eastAsia="微软雅黑"/>
          <w:kern w:val="0"/>
          <w:szCs w:val="21"/>
        </w:rPr>
      </w:pPr>
      <w:r>
        <w:rPr>
          <w:rFonts w:eastAsia="微软雅黑"/>
          <w:b/>
          <w:bCs/>
          <w:kern w:val="0"/>
          <w:szCs w:val="21"/>
        </w:rPr>
        <w:t>曾任：</w:t>
      </w:r>
      <w:bookmarkStart w:id="1" w:name="_Hlk9412068"/>
      <w:r>
        <w:rPr>
          <w:rFonts w:eastAsia="微软雅黑"/>
          <w:kern w:val="0"/>
          <w:szCs w:val="21"/>
        </w:rPr>
        <w:t>应达工业（上海）有限公司</w:t>
      </w:r>
    </w:p>
    <w:p w14:paraId="56316BE4">
      <w:pPr>
        <w:spacing w:line="480" w:lineRule="exact"/>
        <w:ind w:firstLine="630" w:firstLineChars="300"/>
        <w:rPr>
          <w:rFonts w:eastAsia="微软雅黑"/>
          <w:kern w:val="0"/>
          <w:szCs w:val="21"/>
        </w:rPr>
      </w:pPr>
      <w:r>
        <w:rPr>
          <w:rFonts w:eastAsia="微软雅黑"/>
          <w:kern w:val="0"/>
          <w:szCs w:val="21"/>
        </w:rPr>
        <w:t>上海工厂（感应热处理设备制造和工艺研发）  厂长兼热处理工艺总监</w:t>
      </w:r>
    </w:p>
    <w:bookmarkEnd w:id="1"/>
    <w:p w14:paraId="118E70E8">
      <w:pPr>
        <w:spacing w:line="480" w:lineRule="exact"/>
        <w:rPr>
          <w:rFonts w:eastAsia="微软雅黑"/>
          <w:b/>
          <w:bCs/>
          <w:kern w:val="0"/>
          <w:sz w:val="24"/>
          <w:szCs w:val="21"/>
        </w:rPr>
      </w:pPr>
      <w:r>
        <w:rPr>
          <w:rFonts w:eastAsia="微软雅黑"/>
          <w:b/>
          <w:bCs/>
          <w:kern w:val="0"/>
          <w:sz w:val="24"/>
          <w:szCs w:val="21"/>
        </w:rPr>
        <w:t>培训、咨询业务经历</w:t>
      </w:r>
    </w:p>
    <w:p w14:paraId="52D1A392">
      <w:pPr>
        <w:adjustRightInd w:val="0"/>
        <w:snapToGrid w:val="0"/>
        <w:spacing w:line="480" w:lineRule="exact"/>
        <w:rPr>
          <w:rFonts w:eastAsia="微软雅黑"/>
          <w:b/>
          <w:bCs/>
          <w:szCs w:val="21"/>
        </w:rPr>
      </w:pPr>
      <w:r>
        <w:rPr>
          <w:rFonts w:eastAsia="微软雅黑"/>
          <w:b/>
          <w:bCs/>
          <w:szCs w:val="21"/>
        </w:rPr>
        <w:t>开展培训、咨询业务至今，部分服务过的客户：</w:t>
      </w:r>
    </w:p>
    <w:p w14:paraId="62671295">
      <w:pPr>
        <w:adjustRightInd w:val="0"/>
        <w:snapToGrid w:val="0"/>
        <w:spacing w:line="480" w:lineRule="exact"/>
        <w:rPr>
          <w:rFonts w:eastAsia="微软雅黑"/>
          <w:szCs w:val="21"/>
        </w:rPr>
      </w:pPr>
      <w:r>
        <w:rPr>
          <w:rFonts w:eastAsia="微软雅黑"/>
          <w:szCs w:val="21"/>
        </w:rPr>
        <w:t>兴澄钢厂、宝武集团、东北特钢、南京钢厂、西宁特钢、上海奥达科股份有限公司、华晨宝马、通用汽车、蔚来汽车、东风锻造有限公司、博世投资(中国)有限公司、采埃孚（中国）投资有限公司、延锋集团、上海延锋金桥汽车饰件系统有限公司、法雷奥集团、菲亚特克莱斯勒动力科技研发（上海）、浙江吉利汽车有限公司、博群、上海交运集团股份有限公司、人本集团有限公司（以及：浙江辛子精工机械股份有限公司 、湖州以创精工机械有限公司 、湖州诚基机械有限公司 、浙江固耐橡塑科技有限公司、石渔涧模具公司 、浙江为尚机械有限公司 、湖州人新轴承钢管有限公司 、湖州哈特贝尔机械有限公司相关人员）、万向钱潮、万向钱潮股份有限公司等速驱动轴厂、万向精工、法士特齿轮、上海传纳铁福动轴有限公司、上海拖拉机内燃机有限公司、常州光洋轴承公司、洛阳轴承公司、浙江玉环正大公司、上汽集团上海汽车变速器有限公司、NSK投资、NSK集团下属工厂（NSK苏州恩斯克轴承有限公司、NSK昆山恩斯克轴承有限公司、NSK合肥恩斯克轴承有限公司、NSK常熟恩斯克轴承有限公司、NSK张家港恩斯克轴承有限公司）、山东聊城金帝保持器集团、上海粉末冶金厂、江苏贺依特专业热处理厂、太仓晶英热处理厂 、福立旺精密机电、恒隆钢管有限公司、南京丰东热处理工程有限公司. 深圳宏源金属工业有限公司、上海联甬紧固件制造有限公司、无锡日铁钢管有限公司、慈兴集团有限公司、浙江健力股份有限公司、艾默生电气（铜陵）有限公司、杭州金舟科技股份有限公司、浙江煜锦汽车零部件有限公司、山东高强紧固件有限公司、杭州杭海实业有限公司、晋亿实业股份有限公司、台湾三永炉业、港宇威玛（浙江）轴承制造有限公司、北京蒙太因医疗器械有限公司、浙江双环传动机械股份有限公司、山东凯福瑞汽车配件有限公司、江西金力永磁科技股份有限公司、华纬科技股份有限公司、温州市尖端标准件有限公司、滨州渤海活塞有限公司、广州金邦、泰州环球科技、江苏华程工业制管、浙江向隆机械、南阳西排公司、杭州矢崎、宁波欣泰磁器件、中达电子、德特威勒密封技术、苏州信越聚合、吉达克精密金属科技（常熟）、契辂汽车、太仓海嘉车辆、常州市飞鸽钢球有限公司、浙江中集铸锻有限公司、常熟希那基汽车零件有限公司、</w:t>
      </w:r>
      <w:r>
        <w:rPr>
          <w:rFonts w:eastAsia="微软雅黑"/>
          <w:color w:val="000000"/>
          <w:szCs w:val="21"/>
        </w:rPr>
        <w:t>重庆蓝黛传动机械股份有限公司</w:t>
      </w:r>
      <w:r>
        <w:rPr>
          <w:rFonts w:eastAsia="微软雅黑"/>
          <w:szCs w:val="21"/>
        </w:rPr>
        <w:t xml:space="preserve">、常州泰瑞弹簧有限公司、浙江恒基永昕新材料股份有限公司、杭州东华链条集团有限公司、山东青岛吉明美、东莞蔼司蒂粉末冶金、成都天马精密机械、精达（铜陵）股份、黄山市江淮工贸、宁波华翔、青岛丰东热处理、宁波拓普集团、许昌远东传动轴股份有限公司、常州武进大众标准件、江西荣成机械制造、安徽拓盛汽车零部件、安徽中鼎集团、安徽中鼎精工技术有限公司、成都望锦汽车部件有限公司、东莞技研新阳电子有限公司、重庆渝江压铸、通用武汉工厂、十堰恒进、十堰天舒、宁波宏协股份、安徽拓盛汽车零部件、嘉兴科博达宁波均胜饰件、广州顺科新能源、宁波绿动燃料电池、宁波计氏金属、厦门柏恩氏 </w:t>
      </w:r>
      <w:r>
        <w:rPr>
          <w:rFonts w:eastAsia="微软雅黑"/>
          <w:b/>
          <w:bCs/>
          <w:szCs w:val="21"/>
        </w:rPr>
        <w:t>等等</w:t>
      </w:r>
    </w:p>
    <w:p w14:paraId="63FAB596">
      <w:pPr>
        <w:spacing w:line="480" w:lineRule="exact"/>
        <w:ind w:firstLine="420" w:firstLineChars="200"/>
        <w:rPr>
          <w:rFonts w:eastAsia="微软雅黑"/>
        </w:rPr>
      </w:pPr>
      <w:r>
        <w:rPr>
          <w:rFonts w:eastAsia="微软雅黑"/>
          <w:b/>
          <w:bCs/>
          <w:szCs w:val="21"/>
        </w:rPr>
        <w:t>完成了300多场次的CQI系列等的培训、审核、落地实施咨询服务。</w:t>
      </w:r>
    </w:p>
    <w:p w14:paraId="01C42A8C">
      <w:pPr>
        <w:spacing w:line="480" w:lineRule="exact"/>
        <w:ind w:firstLine="420" w:firstLineChars="200"/>
        <w:rPr>
          <w:rFonts w:eastAsia="微软雅黑"/>
        </w:rPr>
      </w:pPr>
    </w:p>
    <w:sectPr>
      <w:headerReference r:id="rId3" w:type="default"/>
      <w:pgSz w:w="11906" w:h="16838"/>
      <w:pgMar w:top="1440" w:right="1080" w:bottom="1538" w:left="10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003F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Arial Black">
    <w:panose1 w:val="020B0A04020102020204"/>
    <w:charset w:val="00"/>
    <w:family w:val="swiss"/>
    <w:pitch w:val="default"/>
    <w:sig w:usb0="A00002AF" w:usb1="400078FB" w:usb2="00000000" w:usb3="00000000" w:csb0="6000009F" w:csb1="DFD7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AC5C2A">
    <w:pPr>
      <w:pStyle w:val="12"/>
      <w:pBdr>
        <w:bottom w:val="none" w:color="auto" w:sz="0" w:space="1"/>
      </w:pBdr>
      <w:jc w:val="both"/>
    </w:pPr>
    <w:r>
      <w:rPr>
        <w:rFonts w:hint="eastAsia" w:hAnsi="微软雅黑" w:eastAsia="微软雅黑"/>
        <w:szCs w:val="24"/>
      </w:rPr>
      <mc:AlternateContent>
        <mc:Choice Requires="wps">
          <w:drawing>
            <wp:anchor distT="0" distB="0" distL="114300" distR="114300" simplePos="0" relativeHeight="251661312" behindDoc="0" locked="0" layoutInCell="1" allowOverlap="1">
              <wp:simplePos x="0" y="0"/>
              <wp:positionH relativeFrom="column">
                <wp:posOffset>5121910</wp:posOffset>
              </wp:positionH>
              <wp:positionV relativeFrom="paragraph">
                <wp:posOffset>372110</wp:posOffset>
              </wp:positionV>
              <wp:extent cx="1166495" cy="407670"/>
              <wp:effectExtent l="0" t="635" r="0" b="1270"/>
              <wp:wrapNone/>
              <wp:docPr id="7" name="文本框 8"/>
              <wp:cNvGraphicFramePr/>
              <a:graphic xmlns:a="http://schemas.openxmlformats.org/drawingml/2006/main">
                <a:graphicData uri="http://schemas.microsoft.com/office/word/2010/wordprocessingShape">
                  <wps:wsp>
                    <wps:cNvSpPr txBox="1">
                      <a:spLocks noChangeArrowheads="1"/>
                    </wps:cNvSpPr>
                    <wps:spPr bwMode="auto">
                      <a:xfrm>
                        <a:off x="0" y="0"/>
                        <a:ext cx="1166495" cy="407670"/>
                      </a:xfrm>
                      <a:prstGeom prst="rect">
                        <a:avLst/>
                      </a:prstGeom>
                      <a:noFill/>
                      <a:ln>
                        <a:noFill/>
                      </a:ln>
                    </wps:spPr>
                    <wps:txbx>
                      <w:txbxContent>
                        <w:p w14:paraId="5733F641">
                          <w:pPr>
                            <w:spacing w:line="480" w:lineRule="exact"/>
                            <w:jc w:val="right"/>
                            <w:rPr>
                              <w:rFonts w:eastAsia="微软雅黑"/>
                              <w:b/>
                              <w:color w:val="000000"/>
                              <w:sz w:val="24"/>
                              <w:szCs w:val="24"/>
                            </w:rPr>
                          </w:pPr>
                          <w:r>
                            <w:rPr>
                              <w:rFonts w:hint="eastAsia" w:eastAsia="微软雅黑"/>
                              <w:b/>
                              <w:color w:val="FFFFFF"/>
                              <w:sz w:val="24"/>
                              <w:szCs w:val="24"/>
                            </w:rPr>
                            <w:t>公开课课纲</w:t>
                          </w:r>
                        </w:p>
                      </w:txbxContent>
                    </wps:txbx>
                    <wps:bodyPr rot="0" vert="horz" wrap="square" lIns="91440" tIns="45720" rIns="91440" bIns="45720" anchor="t" anchorCtr="0" upright="1">
                      <a:noAutofit/>
                    </wps:bodyPr>
                  </wps:wsp>
                </a:graphicData>
              </a:graphic>
            </wp:anchor>
          </w:drawing>
        </mc:Choice>
        <mc:Fallback>
          <w:pict>
            <v:shape id="文本框 8" o:spid="_x0000_s1026" o:spt="202" type="#_x0000_t202" style="position:absolute;left:0pt;margin-left:403.3pt;margin-top:29.3pt;height:32.1pt;width:91.85pt;z-index:251661312;mso-width-relative:page;mso-height-relative:page;" filled="f" stroked="f" coordsize="21600,21600" o:gfxdata="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GgrYTfXAAAACgEAAA8A&#10;AAAAAAAAAQAgAAAAIgAAAGRycy9kb3ducmV2LnhtbFBLAQIUABQAAAAIAIdO4kAExoyzGAIAABUE&#10;AAAOAAAAAAAAAAEAIAAAACYBAABkcnMvZTJvRG9jLnhtbFBLBQYAAAAABgAGAFkBAACwBQAAAAA=&#10;">
              <v:fill on="f" focussize="0,0"/>
              <v:stroke on="f"/>
              <v:imagedata o:title=""/>
              <o:lock v:ext="edit" aspectratio="f"/>
              <v:textbox>
                <w:txbxContent>
                  <w:p w14:paraId="5733F641">
                    <w:pPr>
                      <w:spacing w:line="480" w:lineRule="exact"/>
                      <w:jc w:val="right"/>
                      <w:rPr>
                        <w:rFonts w:eastAsia="微软雅黑"/>
                        <w:b/>
                        <w:color w:val="000000"/>
                        <w:sz w:val="24"/>
                        <w:szCs w:val="24"/>
                      </w:rPr>
                    </w:pPr>
                    <w:r>
                      <w:rPr>
                        <w:rFonts w:hint="eastAsia" w:eastAsia="微软雅黑"/>
                        <w:b/>
                        <w:color w:val="FFFFFF"/>
                        <w:sz w:val="24"/>
                        <w:szCs w:val="24"/>
                      </w:rPr>
                      <w:t>公开课课纲</w:t>
                    </w:r>
                  </w:p>
                </w:txbxContent>
              </v:textbox>
            </v:shap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579120</wp:posOffset>
              </wp:positionH>
              <wp:positionV relativeFrom="paragraph">
                <wp:posOffset>-186690</wp:posOffset>
              </wp:positionV>
              <wp:extent cx="5045710" cy="659765"/>
              <wp:effectExtent l="0" t="3810" r="4445" b="3175"/>
              <wp:wrapNone/>
              <wp:docPr id="6" name="文本框 34"/>
              <wp:cNvGraphicFramePr/>
              <a:graphic xmlns:a="http://schemas.openxmlformats.org/drawingml/2006/main">
                <a:graphicData uri="http://schemas.microsoft.com/office/word/2010/wordprocessingShape">
                  <wps:wsp>
                    <wps:cNvSpPr txBox="1">
                      <a:spLocks noChangeArrowheads="1"/>
                    </wps:cNvSpPr>
                    <wps:spPr bwMode="auto">
                      <a:xfrm>
                        <a:off x="0" y="0"/>
                        <a:ext cx="5045710" cy="659765"/>
                      </a:xfrm>
                      <a:prstGeom prst="rect">
                        <a:avLst/>
                      </a:prstGeom>
                      <a:noFill/>
                      <a:ln>
                        <a:noFill/>
                      </a:ln>
                      <a:effectLst/>
                    </wps:spPr>
                    <wps:txbx>
                      <w:txbxContent>
                        <w:p w14:paraId="61F9A054">
                          <w:pPr>
                            <w:spacing w:before="120" w:beforeLines="50" w:after="120" w:afterLines="50"/>
                            <w:jc w:val="center"/>
                            <w:rPr>
                              <w:color w:val="FFFFFF"/>
                            </w:rPr>
                          </w:pPr>
                          <w:r>
                            <w:rPr>
                              <w:rFonts w:hint="eastAsia" w:ascii="微软雅黑" w:hAnsi="微软雅黑" w:eastAsia="微软雅黑" w:cs="微软雅黑"/>
                              <w:b/>
                              <w:color w:val="FFFFFF"/>
                              <w:sz w:val="44"/>
                            </w:rPr>
                            <w:t>特殊工艺：模塑系统评估</w:t>
                          </w:r>
                        </w:p>
                      </w:txbxContent>
                    </wps:txbx>
                    <wps:bodyPr rot="0" vert="horz" wrap="square" lIns="91440" tIns="45720" rIns="91440" bIns="45720" anchor="t" anchorCtr="0" upright="1">
                      <a:noAutofit/>
                    </wps:bodyPr>
                  </wps:wsp>
                </a:graphicData>
              </a:graphic>
            </wp:anchor>
          </w:drawing>
        </mc:Choice>
        <mc:Fallback>
          <w:pict>
            <v:shape id="文本框 34" o:spid="_x0000_s1026" o:spt="202" type="#_x0000_t202" style="position:absolute;left:0pt;margin-left:45.6pt;margin-top:-14.7pt;height:51.95pt;width:397.3pt;z-index:251660288;mso-width-relative:page;mso-height-relative:page;" filled="f" stroked="f" coordsize="21600,21600" o:gfxdata="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Gy++w1wAAAAkB&#10;AAAPAAAAAAAAAAEAIAAAACIAAABkcnMvZG93bnJldi54bWxQSwECFAAUAAAACACHTuJAKlvMpRwC&#10;AAAkBAAADgAAAAAAAAABACAAAAAmAQAAZHJzL2Uyb0RvYy54bWxQSwUGAAAAAAYABgBZAQAAtAUA&#10;AAAA&#10;">
              <v:fill on="f" focussize="0,0"/>
              <v:stroke on="f"/>
              <v:imagedata o:title=""/>
              <o:lock v:ext="edit" aspectratio="f"/>
              <v:textbox>
                <w:txbxContent>
                  <w:p w14:paraId="61F9A054">
                    <w:pPr>
                      <w:spacing w:before="120" w:beforeLines="50" w:after="120" w:afterLines="50"/>
                      <w:jc w:val="center"/>
                      <w:rPr>
                        <w:color w:val="FFFFFF"/>
                      </w:rPr>
                    </w:pPr>
                    <w:r>
                      <w:rPr>
                        <w:rFonts w:hint="eastAsia" w:ascii="微软雅黑" w:hAnsi="微软雅黑" w:eastAsia="微软雅黑" w:cs="微软雅黑"/>
                        <w:b/>
                        <w:color w:val="FFFFFF"/>
                        <w:sz w:val="44"/>
                      </w:rPr>
                      <w:t>特殊工艺：模塑系统评估</w:t>
                    </w:r>
                  </w:p>
                </w:txbxContent>
              </v:textbox>
            </v:shape>
          </w:pict>
        </mc:Fallback>
      </mc:AlternateContent>
    </w:r>
    <w:r>
      <w:rPr>
        <w:sz w:val="24"/>
      </w:rPr>
      <mc:AlternateContent>
        <mc:Choice Requires="wps">
          <w:drawing>
            <wp:anchor distT="0" distB="0" distL="114300" distR="114300" simplePos="0" relativeHeight="251659264" behindDoc="1" locked="0" layoutInCell="1" allowOverlap="1">
              <wp:simplePos x="0" y="0"/>
              <wp:positionH relativeFrom="column">
                <wp:posOffset>-685800</wp:posOffset>
              </wp:positionH>
              <wp:positionV relativeFrom="paragraph">
                <wp:posOffset>-541020</wp:posOffset>
              </wp:positionV>
              <wp:extent cx="7593330" cy="1394460"/>
              <wp:effectExtent l="0" t="1905" r="7620" b="3810"/>
              <wp:wrapTight wrapText="bothSides">
                <wp:wrapPolygon>
                  <wp:start x="21593" y="0"/>
                  <wp:lineTo x="0" y="0"/>
                  <wp:lineTo x="0" y="21600"/>
                  <wp:lineTo x="21593" y="21600"/>
                  <wp:lineTo x="7" y="21600"/>
                  <wp:lineTo x="21600" y="21600"/>
                  <wp:lineTo x="21600" y="0"/>
                  <wp:lineTo x="7" y="0"/>
                  <wp:lineTo x="21593" y="0"/>
                </wp:wrapPolygon>
              </wp:wrapTight>
              <wp:docPr id="5" name="矩形 32"/>
              <wp:cNvGraphicFramePr/>
              <a:graphic xmlns:a="http://schemas.openxmlformats.org/drawingml/2006/main">
                <a:graphicData uri="http://schemas.microsoft.com/office/word/2010/wordprocessingShape">
                  <wps:wsp>
                    <wps:cNvSpPr>
                      <a:spLocks noChangeArrowheads="1"/>
                    </wps:cNvSpPr>
                    <wps:spPr bwMode="auto">
                      <a:xfrm>
                        <a:off x="0" y="0"/>
                        <a:ext cx="7593330" cy="1394460"/>
                      </a:xfrm>
                      <a:prstGeom prst="rect">
                        <a:avLst/>
                      </a:prstGeom>
                      <a:solidFill>
                        <a:srgbClr val="17365D">
                          <a:alpha val="89999"/>
                        </a:srgbClr>
                      </a:solidFill>
                      <a:ln>
                        <a:noFill/>
                      </a:ln>
                      <a:effectLst/>
                    </wps:spPr>
                    <wps:txbx>
                      <w:txbxContent>
                        <w:p w14:paraId="34BE1946"/>
                      </w:txbxContent>
                    </wps:txbx>
                    <wps:bodyPr rot="0" vert="horz" wrap="square" lIns="91440" tIns="45720" rIns="91440" bIns="45720" anchor="t" anchorCtr="0" upright="1">
                      <a:noAutofit/>
                    </wps:bodyPr>
                  </wps:wsp>
                </a:graphicData>
              </a:graphic>
            </wp:anchor>
          </w:drawing>
        </mc:Choice>
        <mc:Fallback>
          <w:pict>
            <v:rect id="矩形 32" o:spid="_x0000_s1026" o:spt="1" style="position:absolute;left:0pt;margin-left:-54pt;margin-top:-42.6pt;height:109.8pt;width:597.9pt;mso-wrap-distance-left:9pt;mso-wrap-distance-right:9pt;z-index:-251657216;mso-width-relative:page;mso-height-relative:page;" fillcolor="#17365D" filled="t" stroked="f" coordsize="21600,21600" wrapcoords="21593 0 0 0 0 21600 21593 21600 7 21600 21600 21600 21600 0 7 0 21593 0" o:gfxdata="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CeN8oG2gAAAA0BAAAPAAAAAAAAAAEAIAAAACIAAABkcnMv&#10;ZG93bnJldi54bWxQSwECFAAUAAAACACHTuJAgjLZezoCAABiBAAADgAAAAAAAAABACAAAAApAQAA&#10;ZHJzL2Uyb0RvYy54bWxQSwUGAAAAAAYABgBZAQAA1QUAAAAA&#10;">
              <v:fill on="t" opacity="58981f" focussize="0,0"/>
              <v:stroke on="f"/>
              <v:imagedata o:title=""/>
              <o:lock v:ext="edit" aspectratio="f"/>
              <v:textbox>
                <w:txbxContent>
                  <w:p w14:paraId="34BE1946"/>
                </w:txbxContent>
              </v:textbox>
              <w10:wrap type="tight"/>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64CDA6"/>
    <w:multiLevelType w:val="singleLevel"/>
    <w:tmpl w:val="0164CDA6"/>
    <w:lvl w:ilvl="0" w:tentative="0">
      <w:start w:val="1"/>
      <w:numFmt w:val="bullet"/>
      <w:lvlText w:val=""/>
      <w:lvlJc w:val="left"/>
      <w:pPr>
        <w:ind w:left="420" w:hanging="420"/>
      </w:pPr>
      <w:rPr>
        <w:rFonts w:hint="default" w:ascii="Wingdings" w:hAnsi="Wingdings"/>
      </w:rPr>
    </w:lvl>
  </w:abstractNum>
  <w:abstractNum w:abstractNumId="1">
    <w:nsid w:val="55626ACB"/>
    <w:multiLevelType w:val="multilevel"/>
    <w:tmpl w:val="55626ACB"/>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7187B63B"/>
    <w:multiLevelType w:val="singleLevel"/>
    <w:tmpl w:val="7187B63B"/>
    <w:lvl w:ilvl="0" w:tentative="0">
      <w:start w:val="1"/>
      <w:numFmt w:val="bullet"/>
      <w:lvlText w:val=""/>
      <w:lvlJc w:val="left"/>
      <w:pPr>
        <w:tabs>
          <w:tab w:val="left" w:pos="0"/>
        </w:tabs>
        <w:ind w:left="420" w:hanging="420"/>
      </w:pPr>
      <w:rPr>
        <w:rFonts w:hint="default" w:ascii="Wingdings" w:hAnsi="Wingdings"/>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Q1MGJmZDc5M2EzMGU3NmNlZGU5MjViM2I3MjkwZWIifQ=="/>
  </w:docVars>
  <w:rsids>
    <w:rsidRoot w:val="00172A27"/>
    <w:rsid w:val="0000341B"/>
    <w:rsid w:val="000045FC"/>
    <w:rsid w:val="00023314"/>
    <w:rsid w:val="00093C81"/>
    <w:rsid w:val="000975DB"/>
    <w:rsid w:val="00124800"/>
    <w:rsid w:val="00160F0B"/>
    <w:rsid w:val="00165DE2"/>
    <w:rsid w:val="00172A27"/>
    <w:rsid w:val="00185D35"/>
    <w:rsid w:val="001A2682"/>
    <w:rsid w:val="001F290A"/>
    <w:rsid w:val="00216A52"/>
    <w:rsid w:val="00260BAA"/>
    <w:rsid w:val="00261CDF"/>
    <w:rsid w:val="00263ED8"/>
    <w:rsid w:val="00287DC4"/>
    <w:rsid w:val="002A3556"/>
    <w:rsid w:val="002F4A04"/>
    <w:rsid w:val="00322E6B"/>
    <w:rsid w:val="00336015"/>
    <w:rsid w:val="00340F5D"/>
    <w:rsid w:val="003536C6"/>
    <w:rsid w:val="003553D0"/>
    <w:rsid w:val="003577A2"/>
    <w:rsid w:val="003A7F64"/>
    <w:rsid w:val="003B1928"/>
    <w:rsid w:val="003B704C"/>
    <w:rsid w:val="003D2CA4"/>
    <w:rsid w:val="00407BC8"/>
    <w:rsid w:val="00432EC4"/>
    <w:rsid w:val="004809F5"/>
    <w:rsid w:val="004B564E"/>
    <w:rsid w:val="004D2282"/>
    <w:rsid w:val="004E33A1"/>
    <w:rsid w:val="004F2C5C"/>
    <w:rsid w:val="00562617"/>
    <w:rsid w:val="00565831"/>
    <w:rsid w:val="00581986"/>
    <w:rsid w:val="00583AC3"/>
    <w:rsid w:val="00590E2A"/>
    <w:rsid w:val="005A055D"/>
    <w:rsid w:val="005A71A0"/>
    <w:rsid w:val="005B0872"/>
    <w:rsid w:val="00613749"/>
    <w:rsid w:val="00661C73"/>
    <w:rsid w:val="0067197A"/>
    <w:rsid w:val="00687135"/>
    <w:rsid w:val="00694734"/>
    <w:rsid w:val="006A7F22"/>
    <w:rsid w:val="006B3C93"/>
    <w:rsid w:val="006E2A46"/>
    <w:rsid w:val="006E48F9"/>
    <w:rsid w:val="006F7B86"/>
    <w:rsid w:val="00702153"/>
    <w:rsid w:val="007070B4"/>
    <w:rsid w:val="00750A14"/>
    <w:rsid w:val="00756790"/>
    <w:rsid w:val="007B1A9D"/>
    <w:rsid w:val="007B5D60"/>
    <w:rsid w:val="007C278B"/>
    <w:rsid w:val="007E5EAE"/>
    <w:rsid w:val="007F2913"/>
    <w:rsid w:val="008256AA"/>
    <w:rsid w:val="00843CE6"/>
    <w:rsid w:val="00847323"/>
    <w:rsid w:val="0085594E"/>
    <w:rsid w:val="00857E8B"/>
    <w:rsid w:val="0086068C"/>
    <w:rsid w:val="00874842"/>
    <w:rsid w:val="00877927"/>
    <w:rsid w:val="00877A30"/>
    <w:rsid w:val="008D1133"/>
    <w:rsid w:val="008D3DFA"/>
    <w:rsid w:val="008D7087"/>
    <w:rsid w:val="008E1C75"/>
    <w:rsid w:val="00914261"/>
    <w:rsid w:val="009D0656"/>
    <w:rsid w:val="009E13AC"/>
    <w:rsid w:val="00A04191"/>
    <w:rsid w:val="00A32A72"/>
    <w:rsid w:val="00A3303F"/>
    <w:rsid w:val="00A53C21"/>
    <w:rsid w:val="00A577C5"/>
    <w:rsid w:val="00A63DFF"/>
    <w:rsid w:val="00A862A0"/>
    <w:rsid w:val="00AA41FD"/>
    <w:rsid w:val="00AD2BD8"/>
    <w:rsid w:val="00AE0C5B"/>
    <w:rsid w:val="00AE5B4E"/>
    <w:rsid w:val="00B0202D"/>
    <w:rsid w:val="00B05875"/>
    <w:rsid w:val="00B10824"/>
    <w:rsid w:val="00B611CB"/>
    <w:rsid w:val="00B926D7"/>
    <w:rsid w:val="00BB38C5"/>
    <w:rsid w:val="00BF3FF3"/>
    <w:rsid w:val="00C036BE"/>
    <w:rsid w:val="00C61BE0"/>
    <w:rsid w:val="00C854FC"/>
    <w:rsid w:val="00CB3686"/>
    <w:rsid w:val="00CF40C1"/>
    <w:rsid w:val="00CF41C1"/>
    <w:rsid w:val="00D16B23"/>
    <w:rsid w:val="00D33D22"/>
    <w:rsid w:val="00DA0B52"/>
    <w:rsid w:val="00DA70BC"/>
    <w:rsid w:val="00DB3EDE"/>
    <w:rsid w:val="00DD6868"/>
    <w:rsid w:val="00DE5D01"/>
    <w:rsid w:val="00DE6351"/>
    <w:rsid w:val="00E04C9B"/>
    <w:rsid w:val="00E2128D"/>
    <w:rsid w:val="00E95574"/>
    <w:rsid w:val="00E97F3E"/>
    <w:rsid w:val="00F05371"/>
    <w:rsid w:val="00F05B6D"/>
    <w:rsid w:val="00F236BE"/>
    <w:rsid w:val="00F72E12"/>
    <w:rsid w:val="00F95D21"/>
    <w:rsid w:val="00FA01DD"/>
    <w:rsid w:val="00FA3B7B"/>
    <w:rsid w:val="00FA5C70"/>
    <w:rsid w:val="00FD4819"/>
    <w:rsid w:val="00FE7DC1"/>
    <w:rsid w:val="017621F9"/>
    <w:rsid w:val="07D70922"/>
    <w:rsid w:val="09381459"/>
    <w:rsid w:val="0958526D"/>
    <w:rsid w:val="09BD6B8A"/>
    <w:rsid w:val="09F23CE8"/>
    <w:rsid w:val="0AFA120A"/>
    <w:rsid w:val="0C3537FB"/>
    <w:rsid w:val="0C7F1C11"/>
    <w:rsid w:val="0CCD0825"/>
    <w:rsid w:val="0F2E22AB"/>
    <w:rsid w:val="107F18A9"/>
    <w:rsid w:val="10F20DDB"/>
    <w:rsid w:val="12183A8E"/>
    <w:rsid w:val="13EB653A"/>
    <w:rsid w:val="14F67573"/>
    <w:rsid w:val="17565E18"/>
    <w:rsid w:val="17C77B0F"/>
    <w:rsid w:val="189C4843"/>
    <w:rsid w:val="19574DA2"/>
    <w:rsid w:val="1B7D79D2"/>
    <w:rsid w:val="1BE31B4D"/>
    <w:rsid w:val="1D533889"/>
    <w:rsid w:val="1D5522D4"/>
    <w:rsid w:val="1E2206E9"/>
    <w:rsid w:val="1E8F4FAF"/>
    <w:rsid w:val="1EB00B68"/>
    <w:rsid w:val="1F8C08F2"/>
    <w:rsid w:val="21D04826"/>
    <w:rsid w:val="23040234"/>
    <w:rsid w:val="23AB191E"/>
    <w:rsid w:val="24B30F5E"/>
    <w:rsid w:val="24C34C80"/>
    <w:rsid w:val="25D10AE5"/>
    <w:rsid w:val="25E40DB9"/>
    <w:rsid w:val="25F82EB2"/>
    <w:rsid w:val="26FA7220"/>
    <w:rsid w:val="275C1C24"/>
    <w:rsid w:val="286B0F53"/>
    <w:rsid w:val="29110139"/>
    <w:rsid w:val="297561D3"/>
    <w:rsid w:val="2B32788A"/>
    <w:rsid w:val="2B683643"/>
    <w:rsid w:val="2BFE25AD"/>
    <w:rsid w:val="2C484B1E"/>
    <w:rsid w:val="2CE0731C"/>
    <w:rsid w:val="2D021266"/>
    <w:rsid w:val="2D1C2F78"/>
    <w:rsid w:val="2DDD43CD"/>
    <w:rsid w:val="2E4A06F4"/>
    <w:rsid w:val="32E35FC5"/>
    <w:rsid w:val="331F61ED"/>
    <w:rsid w:val="352765C3"/>
    <w:rsid w:val="35513819"/>
    <w:rsid w:val="35BE11FB"/>
    <w:rsid w:val="36331012"/>
    <w:rsid w:val="389B1303"/>
    <w:rsid w:val="390A2655"/>
    <w:rsid w:val="3CAF11F3"/>
    <w:rsid w:val="3D2953BB"/>
    <w:rsid w:val="3DA4799F"/>
    <w:rsid w:val="3EB31986"/>
    <w:rsid w:val="4077339B"/>
    <w:rsid w:val="426D4684"/>
    <w:rsid w:val="44BC5F98"/>
    <w:rsid w:val="459B1F40"/>
    <w:rsid w:val="46295027"/>
    <w:rsid w:val="469D17EC"/>
    <w:rsid w:val="46BF20A2"/>
    <w:rsid w:val="47606B0B"/>
    <w:rsid w:val="47C61B5C"/>
    <w:rsid w:val="47FC3417"/>
    <w:rsid w:val="49612AC8"/>
    <w:rsid w:val="4ABC313C"/>
    <w:rsid w:val="4AF30483"/>
    <w:rsid w:val="4CBB2F60"/>
    <w:rsid w:val="4FDC618E"/>
    <w:rsid w:val="559646C4"/>
    <w:rsid w:val="56245862"/>
    <w:rsid w:val="564B6B40"/>
    <w:rsid w:val="56DC5010"/>
    <w:rsid w:val="573B510F"/>
    <w:rsid w:val="575C65BB"/>
    <w:rsid w:val="57A63BE7"/>
    <w:rsid w:val="58556DFB"/>
    <w:rsid w:val="58A1423A"/>
    <w:rsid w:val="605B3923"/>
    <w:rsid w:val="60832368"/>
    <w:rsid w:val="61154893"/>
    <w:rsid w:val="618371CB"/>
    <w:rsid w:val="61B21CE6"/>
    <w:rsid w:val="62F05CEE"/>
    <w:rsid w:val="634459FB"/>
    <w:rsid w:val="66A27570"/>
    <w:rsid w:val="66B35C38"/>
    <w:rsid w:val="68211269"/>
    <w:rsid w:val="685B471E"/>
    <w:rsid w:val="68926F62"/>
    <w:rsid w:val="6896041E"/>
    <w:rsid w:val="695E7BE1"/>
    <w:rsid w:val="6A082FA0"/>
    <w:rsid w:val="6A2A6341"/>
    <w:rsid w:val="6A5C6141"/>
    <w:rsid w:val="6BA00665"/>
    <w:rsid w:val="6C666467"/>
    <w:rsid w:val="6D694AFE"/>
    <w:rsid w:val="6D7A78B9"/>
    <w:rsid w:val="6DFB76B0"/>
    <w:rsid w:val="6FA4093E"/>
    <w:rsid w:val="711605ED"/>
    <w:rsid w:val="713472B0"/>
    <w:rsid w:val="71B4365D"/>
    <w:rsid w:val="723536EF"/>
    <w:rsid w:val="745436E9"/>
    <w:rsid w:val="75D60C7F"/>
    <w:rsid w:val="769E4528"/>
    <w:rsid w:val="781A4D19"/>
    <w:rsid w:val="7ACE03F8"/>
    <w:rsid w:val="7B9F58E0"/>
    <w:rsid w:val="7CCF01D0"/>
    <w:rsid w:val="7DDC3A2D"/>
    <w:rsid w:val="7E212EDA"/>
    <w:rsid w:val="7E6C6CF7"/>
    <w:rsid w:val="7F6015C4"/>
    <w:rsid w:val="7F6D75EE"/>
    <w:rsid w:val="7F9248A7"/>
    <w:rsid w:val="7F9801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ind w:left="220" w:firstLine="660"/>
      <w:jc w:val="center"/>
      <w:outlineLvl w:val="0"/>
    </w:pPr>
    <w:rPr>
      <w:b/>
      <w:sz w:val="32"/>
    </w:rPr>
  </w:style>
  <w:style w:type="paragraph" w:styleId="3">
    <w:name w:val="heading 2"/>
    <w:basedOn w:val="1"/>
    <w:next w:val="1"/>
    <w:qFormat/>
    <w:uiPriority w:val="0"/>
    <w:pPr>
      <w:keepNext/>
      <w:spacing w:line="480" w:lineRule="exact"/>
      <w:ind w:left="360"/>
      <w:outlineLvl w:val="1"/>
    </w:pPr>
    <w:rPr>
      <w:sz w:val="30"/>
    </w:rPr>
  </w:style>
  <w:style w:type="paragraph" w:styleId="4">
    <w:name w:val="heading 3"/>
    <w:basedOn w:val="1"/>
    <w:next w:val="1"/>
    <w:qFormat/>
    <w:uiPriority w:val="0"/>
    <w:pPr>
      <w:keepNext/>
      <w:ind w:left="-358" w:leftChars="-171" w:hanging="1"/>
      <w:outlineLvl w:val="2"/>
    </w:pPr>
    <w:rPr>
      <w:b/>
      <w:i/>
      <w:sz w:val="30"/>
      <w:u w:val="thick"/>
    </w:rPr>
  </w:style>
  <w:style w:type="character" w:default="1" w:styleId="18">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Body Text"/>
    <w:basedOn w:val="1"/>
    <w:qFormat/>
    <w:uiPriority w:val="0"/>
    <w:rPr>
      <w:sz w:val="28"/>
    </w:rPr>
  </w:style>
  <w:style w:type="paragraph" w:styleId="7">
    <w:name w:val="Body Text Indent"/>
    <w:basedOn w:val="1"/>
    <w:qFormat/>
    <w:uiPriority w:val="0"/>
    <w:pPr>
      <w:spacing w:before="156" w:beforeLines="50" w:line="440" w:lineRule="exact"/>
      <w:ind w:firstLine="480" w:firstLineChars="200"/>
    </w:pPr>
    <w:rPr>
      <w:sz w:val="24"/>
    </w:rPr>
  </w:style>
  <w:style w:type="paragraph" w:styleId="8">
    <w:name w:val="Block Text"/>
    <w:basedOn w:val="1"/>
    <w:qFormat/>
    <w:uiPriority w:val="0"/>
    <w:pPr>
      <w:spacing w:line="720" w:lineRule="exact"/>
      <w:ind w:left="-359" w:leftChars="-171" w:right="-244" w:rightChars="-244" w:firstLine="560" w:firstLineChars="200"/>
      <w:jc w:val="left"/>
    </w:pPr>
    <w:rPr>
      <w:rFonts w:ascii="宋体" w:hAnsi="宋体"/>
      <w:sz w:val="28"/>
    </w:rPr>
  </w:style>
  <w:style w:type="paragraph" w:styleId="9">
    <w:name w:val="Date"/>
    <w:basedOn w:val="1"/>
    <w:next w:val="1"/>
    <w:qFormat/>
    <w:uiPriority w:val="0"/>
    <w:rPr>
      <w:rFonts w:ascii="宋体"/>
      <w:sz w:val="28"/>
    </w:rPr>
  </w:style>
  <w:style w:type="paragraph" w:styleId="10">
    <w:name w:val="Body Text Indent 2"/>
    <w:basedOn w:val="1"/>
    <w:qFormat/>
    <w:uiPriority w:val="0"/>
    <w:pPr>
      <w:spacing w:before="100" w:after="100" w:line="440" w:lineRule="exact"/>
      <w:ind w:firstLine="480" w:firstLineChars="200"/>
    </w:pPr>
    <w:rPr>
      <w:sz w:val="24"/>
    </w:rPr>
  </w:style>
  <w:style w:type="paragraph" w:styleId="11">
    <w:name w:val="footer"/>
    <w:basedOn w:val="1"/>
    <w:link w:val="25"/>
    <w:qFormat/>
    <w:uiPriority w:val="99"/>
    <w:pPr>
      <w:tabs>
        <w:tab w:val="center" w:pos="4153"/>
        <w:tab w:val="right" w:pos="8306"/>
      </w:tabs>
      <w:snapToGrid w:val="0"/>
      <w:jc w:val="left"/>
    </w:pPr>
    <w:rPr>
      <w:sz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rPr>
  </w:style>
  <w:style w:type="paragraph" w:styleId="13">
    <w:name w:val="Body Text Indent 3"/>
    <w:basedOn w:val="1"/>
    <w:qFormat/>
    <w:uiPriority w:val="0"/>
    <w:pPr>
      <w:spacing w:line="500" w:lineRule="exact"/>
      <w:ind w:firstLine="482" w:firstLineChars="200"/>
    </w:pPr>
    <w:rPr>
      <w:b/>
      <w:sz w:val="24"/>
    </w:rPr>
  </w:style>
  <w:style w:type="paragraph" w:styleId="14">
    <w:name w:val="Body Text 2"/>
    <w:basedOn w:val="1"/>
    <w:qFormat/>
    <w:uiPriority w:val="0"/>
    <w:rPr>
      <w:rFonts w:ascii="黑体" w:eastAsia="黑体"/>
      <w:b/>
      <w:sz w:val="28"/>
    </w:rPr>
  </w:style>
  <w:style w:type="paragraph" w:styleId="1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16">
    <w:name w:val="Normal (Web)"/>
    <w:basedOn w:val="1"/>
    <w:qFormat/>
    <w:uiPriority w:val="99"/>
    <w:pPr>
      <w:widowControl/>
      <w:spacing w:before="100" w:beforeAutospacing="1" w:after="100" w:afterAutospacing="1"/>
      <w:jc w:val="left"/>
    </w:pPr>
    <w:rPr>
      <w:rFonts w:ascii="Arial Unicode MS" w:hAnsi="Arial Unicode MS" w:eastAsia="Arial Unicode MS"/>
      <w:kern w:val="0"/>
      <w:sz w:val="24"/>
      <w:lang w:eastAsia="en-US"/>
    </w:rPr>
  </w:style>
  <w:style w:type="character" w:styleId="19">
    <w:name w:val="Strong"/>
    <w:qFormat/>
    <w:uiPriority w:val="0"/>
    <w:rPr>
      <w:b/>
    </w:rPr>
  </w:style>
  <w:style w:type="character" w:styleId="20">
    <w:name w:val="page number"/>
    <w:uiPriority w:val="0"/>
  </w:style>
  <w:style w:type="character" w:styleId="21">
    <w:name w:val="FollowedHyperlink"/>
    <w:qFormat/>
    <w:uiPriority w:val="0"/>
    <w:rPr>
      <w:color w:val="800080"/>
      <w:u w:val="single"/>
    </w:rPr>
  </w:style>
  <w:style w:type="character" w:styleId="22">
    <w:name w:val="Emphasis"/>
    <w:qFormat/>
    <w:uiPriority w:val="20"/>
    <w:rPr>
      <w:i/>
      <w:iCs/>
    </w:rPr>
  </w:style>
  <w:style w:type="character" w:styleId="23">
    <w:name w:val="Hyperlink"/>
    <w:qFormat/>
    <w:uiPriority w:val="0"/>
    <w:rPr>
      <w:color w:val="0000FF"/>
      <w:u w:val="single"/>
    </w:rPr>
  </w:style>
  <w:style w:type="character" w:styleId="24">
    <w:name w:val="annotation reference"/>
    <w:qFormat/>
    <w:uiPriority w:val="0"/>
    <w:rPr>
      <w:sz w:val="21"/>
    </w:rPr>
  </w:style>
  <w:style w:type="character" w:customStyle="1" w:styleId="25">
    <w:name w:val="页脚 Char"/>
    <w:link w:val="11"/>
    <w:qFormat/>
    <w:uiPriority w:val="99"/>
    <w:rPr>
      <w:kern w:val="2"/>
      <w:sz w:val="18"/>
    </w:rPr>
  </w:style>
  <w:style w:type="character" w:customStyle="1" w:styleId="26">
    <w:name w:val="9a1"/>
    <w:uiPriority w:val="0"/>
  </w:style>
  <w:style w:type="character" w:customStyle="1" w:styleId="27">
    <w:name w:val="9pt21"/>
    <w:qFormat/>
    <w:uiPriority w:val="0"/>
    <w:rPr>
      <w:color w:val="333333"/>
      <w:sz w:val="18"/>
    </w:rPr>
  </w:style>
  <w:style w:type="paragraph" w:customStyle="1" w:styleId="28">
    <w:name w:val="Normal_2"/>
    <w:basedOn w:val="1"/>
    <w:qFormat/>
    <w:uiPriority w:val="0"/>
    <w:pPr>
      <w:spacing w:line="360" w:lineRule="exact"/>
    </w:pPr>
    <w:rPr>
      <w:sz w:val="24"/>
    </w:rPr>
  </w:style>
  <w:style w:type="paragraph" w:customStyle="1" w:styleId="29">
    <w:name w:val="Char Char1 Char Char Char Char Char Char"/>
    <w:basedOn w:val="1"/>
    <w:qFormat/>
    <w:uiPriority w:val="0"/>
    <w:pPr>
      <w:widowControl/>
      <w:spacing w:after="160" w:line="240" w:lineRule="exact"/>
      <w:jc w:val="left"/>
    </w:pPr>
  </w:style>
  <w:style w:type="paragraph" w:customStyle="1" w:styleId="30">
    <w:name w:val="Default"/>
    <w:qFormat/>
    <w:uiPriority w:val="0"/>
    <w:pPr>
      <w:widowControl w:val="0"/>
      <w:autoSpaceDE w:val="0"/>
      <w:autoSpaceDN w:val="0"/>
      <w:adjustRightInd w:val="0"/>
    </w:pPr>
    <w:rPr>
      <w:rFonts w:ascii="楷体_GB2312" w:hAnsi="Times New Roman" w:eastAsia="楷体_GB2312" w:cs="Times New Roman"/>
      <w:lang w:val="en-US" w:eastAsia="zh-CN" w:bidi="ar-SA"/>
    </w:rPr>
  </w:style>
  <w:style w:type="paragraph" w:customStyle="1" w:styleId="31">
    <w:name w:val="列出段落1"/>
    <w:basedOn w:val="1"/>
    <w:qFormat/>
    <w:uiPriority w:val="34"/>
    <w:pPr>
      <w:ind w:firstLine="420" w:firstLineChars="200"/>
    </w:pPr>
    <w:rPr>
      <w:rFonts w:ascii="Calibri" w:hAnsi="Calibri"/>
      <w:szCs w:val="22"/>
    </w:rPr>
  </w:style>
  <w:style w:type="paragraph" w:customStyle="1" w:styleId="32">
    <w:name w:val="Achievement"/>
    <w:basedOn w:val="6"/>
    <w:qFormat/>
    <w:uiPriority w:val="0"/>
    <w:pPr>
      <w:widowControl/>
      <w:spacing w:after="60" w:line="220" w:lineRule="atLeast"/>
      <w:ind w:left="780" w:hanging="420"/>
    </w:pPr>
    <w:rPr>
      <w:rFonts w:ascii="Arial" w:hAnsi="Arial"/>
      <w:spacing w:val="-5"/>
      <w:kern w:val="0"/>
      <w:sz w:val="20"/>
    </w:rPr>
  </w:style>
  <w:style w:type="paragraph" w:customStyle="1" w:styleId="33">
    <w:name w:val="列出段落2"/>
    <w:basedOn w:val="1"/>
    <w:qFormat/>
    <w:uiPriority w:val="34"/>
    <w:pPr>
      <w:ind w:firstLine="420" w:firstLineChars="200"/>
    </w:pPr>
  </w:style>
  <w:style w:type="paragraph" w:customStyle="1" w:styleId="34">
    <w:name w:val="Subject Line"/>
    <w:basedOn w:val="1"/>
    <w:next w:val="6"/>
    <w:qFormat/>
    <w:uiPriority w:val="0"/>
    <w:pPr>
      <w:widowControl/>
      <w:spacing w:after="220" w:line="220" w:lineRule="atLeast"/>
      <w:jc w:val="left"/>
    </w:pPr>
    <w:rPr>
      <w:rFonts w:ascii="Arial Black" w:hAnsi="Arial Black" w:eastAsia="Times New Roman"/>
      <w:spacing w:val="-10"/>
      <w:kern w:val="0"/>
      <w:sz w:val="20"/>
      <w:lang w:eastAsia="en-US"/>
    </w:rPr>
  </w:style>
  <w:style w:type="paragraph" w:styleId="35">
    <w:name w:val="List Paragraph"/>
    <w:basedOn w:val="1"/>
    <w:qFormat/>
    <w:uiPriority w:val="34"/>
    <w:pPr>
      <w:ind w:firstLine="420" w:firstLineChars="200"/>
    </w:pPr>
    <w:rPr>
      <w:rFonts w:asciiTheme="minorHAnsi" w:hAnsiTheme="minorHAnsi" w:eastAsiaTheme="minorEastAsia" w:cstheme="minorBidi"/>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8</Pages>
  <Words>4070</Words>
  <Characters>4580</Characters>
  <Lines>35</Lines>
  <Paragraphs>9</Paragraphs>
  <TotalTime>0</TotalTime>
  <ScaleCrop>false</ScaleCrop>
  <LinksUpToDate>false</LinksUpToDate>
  <CharactersWithSpaces>4704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2024-03-04T09:26:00Z</dcterms:created>
  <dc:creator>ssiwyj</dc:creator>
  <cp:lastModifiedBy>Yan</cp:lastModifiedBy>
  <cp:lastPrinted>2024-09-06T06:04:00Z</cp:lastPrinted>
  <dcterms:modified xsi:type="dcterms:W3CDTF">2025-06-04T07:15:39Z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A9CBE1B47F8D456E9A8EA1EE39F6B467_13</vt:lpwstr>
  </property>
</Properties>
</file>